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7A1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061C4A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71BACB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632350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0" w:firstLineChars="0"/>
        <w:jc w:val="center"/>
        <w:textAlignment w:val="auto"/>
        <w:rPr>
          <w:rFonts w:hint="eastAsia" w:ascii="方正小标宋_GBK" w:hAnsi="方正小标宋_GBK" w:eastAsia="方正小标宋_GBK" w:cs="方正小标宋_GBK"/>
          <w:b/>
          <w:bCs/>
          <w:i w:val="0"/>
          <w:iCs w:val="0"/>
          <w:caps w:val="0"/>
          <w:color w:val="000000"/>
          <w:spacing w:val="0"/>
          <w:sz w:val="44"/>
          <w:szCs w:val="44"/>
          <w:shd w:val="clear" w:fill="FFFFFF"/>
          <w:lang w:val="en-US" w:eastAsia="zh-CN"/>
        </w:rPr>
      </w:pPr>
      <w:r>
        <w:rPr>
          <w:rFonts w:hint="eastAsia" w:ascii="方正小标宋_GBK" w:hAnsi="方正小标宋_GBK" w:eastAsia="方正小标宋_GBK" w:cs="方正小标宋_GBK"/>
          <w:b/>
          <w:bCs/>
          <w:i w:val="0"/>
          <w:iCs w:val="0"/>
          <w:caps w:val="0"/>
          <w:color w:val="000000"/>
          <w:spacing w:val="0"/>
          <w:sz w:val="44"/>
          <w:szCs w:val="44"/>
          <w:shd w:val="clear" w:fill="FFFFFF"/>
          <w:lang w:val="en-US" w:eastAsia="zh-CN"/>
        </w:rPr>
        <w:t>2024年度怀化开放大学部门整体支出</w:t>
      </w:r>
    </w:p>
    <w:p w14:paraId="5AD8FC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0" w:firstLineChars="0"/>
        <w:jc w:val="center"/>
        <w:textAlignment w:val="auto"/>
        <w:rPr>
          <w:rFonts w:hint="eastAsia" w:ascii="方正小标宋_GBK" w:hAnsi="方正小标宋_GBK" w:eastAsia="方正小标宋_GBK" w:cs="方正小标宋_GBK"/>
          <w:b/>
          <w:bCs/>
          <w:i w:val="0"/>
          <w:iCs w:val="0"/>
          <w:caps w:val="0"/>
          <w:color w:val="000000"/>
          <w:spacing w:val="0"/>
          <w:sz w:val="44"/>
          <w:szCs w:val="44"/>
          <w:shd w:val="clear" w:fill="FFFFFF"/>
          <w:lang w:val="en-US" w:eastAsia="zh-CN"/>
        </w:rPr>
      </w:pPr>
    </w:p>
    <w:p w14:paraId="7F33D6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0" w:firstLineChars="0"/>
        <w:jc w:val="center"/>
        <w:textAlignment w:val="auto"/>
        <w:rPr>
          <w:rFonts w:hint="default" w:ascii="方正黑体_GBK" w:hAnsi="方正黑体_GBK" w:eastAsia="方正黑体_GBK" w:cs="方正黑体_GBK"/>
          <w:b/>
          <w:bCs/>
          <w:color w:val="auto"/>
          <w:sz w:val="44"/>
          <w:szCs w:val="44"/>
          <w:highlight w:val="none"/>
          <w:lang w:val="en-US" w:eastAsia="zh-CN"/>
        </w:rPr>
      </w:pPr>
      <w:r>
        <w:rPr>
          <w:rFonts w:hint="eastAsia" w:ascii="方正小标宋_GBK" w:hAnsi="方正小标宋_GBK" w:eastAsia="方正小标宋_GBK" w:cs="方正小标宋_GBK"/>
          <w:b/>
          <w:bCs/>
          <w:i w:val="0"/>
          <w:iCs w:val="0"/>
          <w:caps w:val="0"/>
          <w:color w:val="000000"/>
          <w:spacing w:val="0"/>
          <w:sz w:val="44"/>
          <w:szCs w:val="44"/>
          <w:shd w:val="clear" w:fill="FFFFFF"/>
          <w:lang w:val="en-US" w:eastAsia="zh-CN"/>
        </w:rPr>
        <w:t>绩效自评报告</w:t>
      </w:r>
    </w:p>
    <w:p w14:paraId="7D2BB2C3">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default" w:ascii="方正黑体_GBK" w:hAnsi="方正黑体_GBK" w:eastAsia="方正黑体_GBK" w:cs="方正黑体_GBK"/>
          <w:b/>
          <w:bCs/>
          <w:color w:val="auto"/>
          <w:sz w:val="32"/>
          <w:szCs w:val="32"/>
          <w:highlight w:val="none"/>
          <w:lang w:val="en-US" w:eastAsia="zh-CN"/>
        </w:rPr>
      </w:pPr>
    </w:p>
    <w:p w14:paraId="23739B68">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default" w:ascii="方正黑体_GBK" w:hAnsi="方正黑体_GBK" w:eastAsia="方正黑体_GBK" w:cs="方正黑体_GBK"/>
          <w:b/>
          <w:bCs/>
          <w:color w:val="auto"/>
          <w:sz w:val="32"/>
          <w:szCs w:val="32"/>
          <w:highlight w:val="none"/>
          <w:lang w:val="en-US" w:eastAsia="zh-CN"/>
        </w:rPr>
      </w:pPr>
    </w:p>
    <w:p w14:paraId="2CF4C1C0">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default" w:ascii="方正黑体_GBK" w:hAnsi="方正黑体_GBK" w:eastAsia="方正黑体_GBK" w:cs="方正黑体_GBK"/>
          <w:b/>
          <w:bCs/>
          <w:color w:val="auto"/>
          <w:sz w:val="32"/>
          <w:szCs w:val="32"/>
          <w:highlight w:val="none"/>
          <w:lang w:val="en-US" w:eastAsia="zh-CN"/>
        </w:rPr>
      </w:pPr>
    </w:p>
    <w:p w14:paraId="73271B2E">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default" w:ascii="方正黑体_GBK" w:hAnsi="方正黑体_GBK" w:eastAsia="方正黑体_GBK" w:cs="方正黑体_GBK"/>
          <w:b/>
          <w:bCs/>
          <w:color w:val="auto"/>
          <w:sz w:val="32"/>
          <w:szCs w:val="32"/>
          <w:highlight w:val="none"/>
          <w:lang w:val="en-US" w:eastAsia="zh-CN"/>
        </w:rPr>
      </w:pPr>
    </w:p>
    <w:p w14:paraId="3BD7E35D">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default" w:ascii="方正黑体_GBK" w:hAnsi="方正黑体_GBK" w:eastAsia="方正黑体_GBK" w:cs="方正黑体_GBK"/>
          <w:b/>
          <w:bCs/>
          <w:color w:val="auto"/>
          <w:sz w:val="32"/>
          <w:szCs w:val="32"/>
          <w:highlight w:val="none"/>
          <w:lang w:val="en-US" w:eastAsia="zh-CN"/>
        </w:rPr>
      </w:pPr>
    </w:p>
    <w:p w14:paraId="50F99870">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default" w:ascii="方正黑体_GBK" w:hAnsi="方正黑体_GBK" w:eastAsia="方正黑体_GBK" w:cs="方正黑体_GBK"/>
          <w:b/>
          <w:bCs/>
          <w:color w:val="auto"/>
          <w:sz w:val="32"/>
          <w:szCs w:val="32"/>
          <w:highlight w:val="none"/>
          <w:lang w:val="en-US" w:eastAsia="zh-CN"/>
        </w:rPr>
      </w:pPr>
    </w:p>
    <w:p w14:paraId="30A5BB6C">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default" w:ascii="方正黑体_GBK" w:hAnsi="方正黑体_GBK" w:eastAsia="方正黑体_GBK" w:cs="方正黑体_GBK"/>
          <w:b/>
          <w:bCs/>
          <w:color w:val="auto"/>
          <w:sz w:val="32"/>
          <w:szCs w:val="32"/>
          <w:highlight w:val="none"/>
          <w:lang w:val="en-US" w:eastAsia="zh-CN"/>
        </w:rPr>
      </w:pPr>
    </w:p>
    <w:p w14:paraId="0C2B4FFA">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default" w:ascii="方正黑体_GBK" w:hAnsi="方正黑体_GBK" w:eastAsia="方正黑体_GBK" w:cs="方正黑体_GBK"/>
          <w:b/>
          <w:bCs/>
          <w:color w:val="auto"/>
          <w:sz w:val="32"/>
          <w:szCs w:val="32"/>
          <w:highlight w:val="none"/>
          <w:lang w:val="en-US" w:eastAsia="zh-CN"/>
        </w:rPr>
      </w:pPr>
    </w:p>
    <w:p w14:paraId="6AAD874A">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default" w:ascii="方正黑体_GBK" w:hAnsi="方正黑体_GBK" w:eastAsia="方正黑体_GBK" w:cs="方正黑体_GBK"/>
          <w:b/>
          <w:bCs/>
          <w:color w:val="auto"/>
          <w:sz w:val="32"/>
          <w:szCs w:val="32"/>
          <w:highlight w:val="none"/>
          <w:lang w:val="en-US" w:eastAsia="zh-CN"/>
        </w:rPr>
      </w:pPr>
    </w:p>
    <w:p w14:paraId="53FD80E7">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p>
    <w:p w14:paraId="774F0B8B">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方正黑体_GBK" w:hAnsi="方正黑体_GBK" w:eastAsia="方正黑体_GBK" w:cs="方正黑体_GBK"/>
          <w:b/>
          <w:bCs/>
          <w:color w:val="auto"/>
          <w:sz w:val="32"/>
          <w:szCs w:val="32"/>
          <w:highlight w:val="none"/>
          <w:lang w:val="en-US" w:eastAsia="zh-CN"/>
        </w:rPr>
      </w:pPr>
    </w:p>
    <w:p w14:paraId="3C39CE2A">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方正黑体_GBK" w:hAnsi="方正黑体_GBK" w:eastAsia="方正黑体_GBK" w:cs="方正黑体_GBK"/>
          <w:b/>
          <w:bCs/>
          <w:color w:val="auto"/>
          <w:sz w:val="32"/>
          <w:szCs w:val="32"/>
          <w:highlight w:val="none"/>
          <w:lang w:val="en-US" w:eastAsia="zh-CN"/>
        </w:rPr>
      </w:pPr>
    </w:p>
    <w:p w14:paraId="02E27710">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p>
    <w:p w14:paraId="2F674720">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方正黑体_GBK" w:hAnsi="方正黑体_GBK" w:eastAsia="方正黑体_GBK" w:cs="方正黑体_GBK"/>
          <w:b/>
          <w:bCs/>
          <w:color w:val="auto"/>
          <w:sz w:val="32"/>
          <w:szCs w:val="32"/>
          <w:highlight w:val="none"/>
          <w:lang w:val="en-US" w:eastAsia="zh-CN"/>
        </w:rPr>
      </w:pPr>
    </w:p>
    <w:p w14:paraId="42540863">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方正黑体_GBK" w:hAnsi="方正黑体_GBK" w:eastAsia="方正黑体_GBK" w:cs="方正黑体_GBK"/>
          <w:b/>
          <w:bCs/>
          <w:color w:val="auto"/>
          <w:sz w:val="32"/>
          <w:szCs w:val="32"/>
          <w:highlight w:val="none"/>
          <w:lang w:val="en-US" w:eastAsia="zh-CN"/>
        </w:rPr>
      </w:pPr>
    </w:p>
    <w:p w14:paraId="585ADC6A">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方正黑体_GBK" w:hAnsi="方正黑体_GBK" w:eastAsia="方正黑体_GBK" w:cs="方正黑体_GBK"/>
          <w:b/>
          <w:bCs/>
          <w:color w:val="auto"/>
          <w:sz w:val="32"/>
          <w:szCs w:val="32"/>
          <w:highlight w:val="none"/>
          <w:lang w:val="en-US" w:eastAsia="zh-CN"/>
        </w:rPr>
      </w:pPr>
    </w:p>
    <w:p w14:paraId="70C39768">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单位名称（盖章）：怀化开放大学</w:t>
      </w:r>
    </w:p>
    <w:p w14:paraId="5BF93EE9">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default" w:ascii="方正黑体_GBK" w:hAnsi="方正黑体_GBK" w:eastAsia="方正黑体_GBK" w:cs="方正黑体_GBK"/>
          <w:b/>
          <w:bCs/>
          <w:color w:val="auto"/>
          <w:sz w:val="32"/>
          <w:szCs w:val="32"/>
          <w:highlight w:val="none"/>
          <w:lang w:val="en-US" w:eastAsia="zh-CN"/>
        </w:rPr>
      </w:pPr>
    </w:p>
    <w:p w14:paraId="1F16B620">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一、部门概况</w:t>
      </w:r>
    </w:p>
    <w:p w14:paraId="0B4ECFD0">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（一）部门基本情况</w:t>
      </w:r>
    </w:p>
    <w:p w14:paraId="4E3D1DBD">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Autospacing="0" w:afterAutospacing="0" w:line="560" w:lineRule="exact"/>
        <w:ind w:firstLine="643" w:firstLineChars="200"/>
        <w:jc w:val="both"/>
        <w:rPr>
          <w:rFonts w:hint="eastAsia" w:ascii="仿宋" w:hAnsi="仿宋" w:eastAsia="仿宋" w:cs="仿宋"/>
          <w:b/>
          <w:bCs w:val="0"/>
          <w:sz w:val="32"/>
          <w:szCs w:val="32"/>
          <w:lang w:val="en-US" w:eastAsia="zh-CN"/>
        </w:rPr>
      </w:pPr>
      <w:r>
        <w:rPr>
          <w:rFonts w:hint="eastAsia" w:ascii="仿宋" w:hAnsi="仿宋" w:eastAsia="仿宋" w:cs="仿宋"/>
          <w:b/>
          <w:bCs w:val="0"/>
          <w:snapToGrid w:val="0"/>
          <w:color w:val="000000"/>
          <w:kern w:val="0"/>
          <w:sz w:val="32"/>
          <w:szCs w:val="32"/>
          <w:lang w:val="en-US" w:eastAsia="zh-CN" w:bidi="ar-SA"/>
        </w:rPr>
        <w:t>1.</w:t>
      </w:r>
      <w:r>
        <w:rPr>
          <w:rFonts w:hint="eastAsia" w:ascii="仿宋" w:hAnsi="仿宋" w:eastAsia="仿宋" w:cs="仿宋"/>
          <w:b/>
          <w:bCs w:val="0"/>
          <w:sz w:val="32"/>
          <w:szCs w:val="32"/>
          <w:lang w:val="en-US" w:eastAsia="zh-CN"/>
        </w:rPr>
        <w:t>机构设置情况</w:t>
      </w:r>
    </w:p>
    <w:p w14:paraId="69B15351">
      <w:pPr>
        <w:keepNext w:val="0"/>
        <w:keepLines w:val="0"/>
        <w:pageBreakBefore w:val="0"/>
        <w:widowControl/>
        <w:kinsoku/>
        <w:wordWrap/>
        <w:overflowPunct/>
        <w:topLinePunct w:val="0"/>
        <w:autoSpaceDE/>
        <w:autoSpaceDN/>
        <w:bidi w:val="0"/>
        <w:adjustRightInd/>
        <w:spacing w:line="560" w:lineRule="exact"/>
        <w:ind w:firstLine="640" w:firstLineChars="200"/>
        <w:jc w:val="both"/>
        <w:rPr>
          <w:rFonts w:hint="eastAsia" w:ascii="仿宋" w:hAnsi="仿宋" w:eastAsia="仿宋" w:cs="仿宋"/>
          <w:bCs/>
          <w:kern w:val="0"/>
          <w:sz w:val="32"/>
          <w:szCs w:val="32"/>
        </w:rPr>
      </w:pPr>
      <w:r>
        <w:rPr>
          <w:rFonts w:hint="eastAsia" w:ascii="仿宋" w:hAnsi="仿宋" w:eastAsia="仿宋" w:cs="仿宋"/>
          <w:bCs/>
          <w:kern w:val="0"/>
          <w:sz w:val="32"/>
          <w:szCs w:val="32"/>
        </w:rPr>
        <w:t>怀化开放大学是市政府举办的一所公办成人高等教育学校，为一级部门预算单位。</w:t>
      </w:r>
      <w:r>
        <w:rPr>
          <w:rFonts w:hint="eastAsia" w:ascii="仿宋" w:hAnsi="仿宋" w:eastAsia="仿宋" w:cs="仿宋"/>
          <w:bCs/>
          <w:kern w:val="0"/>
          <w:sz w:val="32"/>
          <w:szCs w:val="32"/>
          <w:lang w:val="en-US" w:eastAsia="zh-CN"/>
        </w:rPr>
        <w:t>学校</w:t>
      </w:r>
      <w:r>
        <w:rPr>
          <w:rFonts w:hint="eastAsia" w:ascii="仿宋" w:hAnsi="仿宋" w:eastAsia="仿宋" w:cs="仿宋"/>
          <w:bCs/>
          <w:kern w:val="0"/>
          <w:sz w:val="32"/>
          <w:szCs w:val="32"/>
        </w:rPr>
        <w:t>领导职数设党委书记、校长、副校长和纪委书记共</w:t>
      </w:r>
      <w:r>
        <w:rPr>
          <w:rFonts w:hint="eastAsia" w:ascii="仿宋" w:hAnsi="仿宋" w:eastAsia="仿宋" w:cs="仿宋"/>
          <w:bCs/>
          <w:kern w:val="0"/>
          <w:sz w:val="32"/>
          <w:szCs w:val="32"/>
          <w:lang w:val="en-US" w:eastAsia="zh-CN"/>
        </w:rPr>
        <w:t>7</w:t>
      </w:r>
      <w:r>
        <w:rPr>
          <w:rFonts w:hint="eastAsia" w:ascii="仿宋" w:hAnsi="仿宋" w:eastAsia="仿宋" w:cs="仿宋"/>
          <w:bCs/>
          <w:kern w:val="0"/>
          <w:sz w:val="32"/>
          <w:szCs w:val="32"/>
        </w:rPr>
        <w:t>人，内设党政办公室、组织人事科、教务科、招生与系统建设办公室、总务科、纪检监察室6个管理机构和教学与学生工作部、终身教育指导服务中心、培训部、教育信息技术中心4个</w:t>
      </w:r>
      <w:r>
        <w:rPr>
          <w:rFonts w:hint="eastAsia" w:ascii="仿宋" w:hAnsi="仿宋" w:eastAsia="仿宋" w:cs="仿宋"/>
          <w:bCs/>
          <w:color w:val="auto"/>
          <w:kern w:val="0"/>
          <w:sz w:val="32"/>
          <w:szCs w:val="32"/>
        </w:rPr>
        <w:t>教学辅助机构。</w:t>
      </w:r>
    </w:p>
    <w:p w14:paraId="0E9AF9DE">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3" w:firstLineChars="200"/>
        <w:jc w:val="both"/>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2.人员编制情况</w:t>
      </w:r>
    </w:p>
    <w:p w14:paraId="6CACCE98">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jc w:val="both"/>
        <w:rPr>
          <w:rFonts w:hint="eastAsia" w:ascii="仿宋" w:hAnsi="仿宋" w:eastAsia="仿宋" w:cs="仿宋"/>
          <w:bCs/>
          <w:sz w:val="32"/>
          <w:szCs w:val="32"/>
        </w:rPr>
      </w:pPr>
      <w:r>
        <w:rPr>
          <w:rFonts w:hint="eastAsia" w:ascii="仿宋" w:hAnsi="仿宋" w:eastAsia="仿宋" w:cs="仿宋"/>
          <w:bCs/>
          <w:sz w:val="32"/>
          <w:szCs w:val="32"/>
        </w:rPr>
        <w:t>学校经市编办核定的编制数为65人。202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年底，学校共有教职工</w:t>
      </w:r>
      <w:r>
        <w:rPr>
          <w:rFonts w:hint="eastAsia" w:ascii="仿宋" w:hAnsi="仿宋" w:eastAsia="仿宋" w:cs="仿宋"/>
          <w:bCs/>
          <w:sz w:val="32"/>
          <w:szCs w:val="32"/>
          <w:lang w:val="en-US" w:eastAsia="zh-CN"/>
        </w:rPr>
        <w:t>104</w:t>
      </w:r>
      <w:r>
        <w:rPr>
          <w:rFonts w:hint="eastAsia" w:ascii="仿宋" w:hAnsi="仿宋" w:eastAsia="仿宋" w:cs="仿宋"/>
          <w:bCs/>
          <w:sz w:val="32"/>
          <w:szCs w:val="32"/>
        </w:rPr>
        <w:t>人，其中：在职在编教职工</w:t>
      </w:r>
      <w:r>
        <w:rPr>
          <w:rFonts w:hint="eastAsia" w:ascii="仿宋" w:hAnsi="仿宋" w:eastAsia="仿宋" w:cs="仿宋"/>
          <w:bCs/>
          <w:sz w:val="32"/>
          <w:szCs w:val="32"/>
          <w:lang w:val="en-US" w:eastAsia="zh-CN"/>
        </w:rPr>
        <w:t>59</w:t>
      </w:r>
      <w:r>
        <w:rPr>
          <w:rFonts w:hint="eastAsia" w:ascii="仿宋" w:hAnsi="仿宋" w:eastAsia="仿宋" w:cs="仿宋"/>
          <w:bCs/>
          <w:sz w:val="32"/>
          <w:szCs w:val="32"/>
        </w:rPr>
        <w:t>人，聘用教职工9人，退休教职工</w:t>
      </w:r>
      <w:r>
        <w:rPr>
          <w:rFonts w:hint="eastAsia" w:ascii="仿宋" w:hAnsi="仿宋" w:eastAsia="仿宋" w:cs="仿宋"/>
          <w:bCs/>
          <w:sz w:val="32"/>
          <w:szCs w:val="32"/>
          <w:lang w:val="en-US" w:eastAsia="zh-CN"/>
        </w:rPr>
        <w:t>36</w:t>
      </w:r>
      <w:r>
        <w:rPr>
          <w:rFonts w:hint="eastAsia" w:ascii="仿宋" w:hAnsi="仿宋" w:eastAsia="仿宋" w:cs="仿宋"/>
          <w:bCs/>
          <w:sz w:val="32"/>
          <w:szCs w:val="32"/>
        </w:rPr>
        <w:t>人。</w:t>
      </w:r>
    </w:p>
    <w:p w14:paraId="58A19B4D">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3" w:firstLineChars="200"/>
        <w:jc w:val="both"/>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3.主要职能职责</w:t>
      </w:r>
    </w:p>
    <w:p w14:paraId="1319041D">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jc w:val="both"/>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我校</w:t>
      </w:r>
      <w:r>
        <w:rPr>
          <w:rFonts w:hint="eastAsia" w:ascii="仿宋" w:hAnsi="仿宋" w:eastAsia="仿宋" w:cs="仿宋"/>
          <w:bCs/>
          <w:color w:val="auto"/>
          <w:sz w:val="32"/>
          <w:szCs w:val="32"/>
        </w:rPr>
        <w:t>是由市人民政府举办，以促进终身学习为使命、以现代教育技术为支撑、以“互联网+”为特征的新型成人高等学校。作为一所主要以职业人为培养对象的高等学校，致力于面向全体社会成员的全民终身教育和本专科学历教育，与国家开放大学、湖南开放大学办学平台实现对接，将现代信息技术与教育深度融合，强调优质教育资源的集聚、整合和共享。学校按所属行业归口为市教育局直属学校，在业务上接受湖南开放大学指导，实行统筹规划、分级办学、分级管理，在12个县（市、区）设有工作站或教学点，形成了遍布全市城乡的开放教育网络。学校开设经济学、法学、教育学、文学、理学、工学、农学、医学、管理学等学科40多个本、专科专业，</w:t>
      </w:r>
      <w:r>
        <w:rPr>
          <w:rFonts w:hint="eastAsia" w:ascii="仿宋" w:hAnsi="仿宋" w:eastAsia="仿宋" w:cs="仿宋"/>
          <w:bCs/>
          <w:color w:val="auto"/>
          <w:sz w:val="32"/>
          <w:szCs w:val="32"/>
          <w:highlight w:val="none"/>
        </w:rPr>
        <w:t>在籍学生</w:t>
      </w:r>
      <w:r>
        <w:rPr>
          <w:rFonts w:hint="eastAsia" w:ascii="仿宋" w:hAnsi="仿宋" w:eastAsia="仿宋" w:cs="仿宋"/>
          <w:bCs/>
          <w:color w:val="auto"/>
          <w:sz w:val="32"/>
          <w:szCs w:val="32"/>
          <w:highlight w:val="none"/>
          <w:lang w:val="en-US" w:eastAsia="zh-CN"/>
        </w:rPr>
        <w:t>7</w:t>
      </w:r>
      <w:r>
        <w:rPr>
          <w:rFonts w:hint="eastAsia" w:ascii="仿宋" w:hAnsi="仿宋" w:eastAsia="仿宋" w:cs="仿宋"/>
          <w:bCs/>
          <w:color w:val="auto"/>
          <w:sz w:val="32"/>
          <w:szCs w:val="32"/>
          <w:highlight w:val="none"/>
        </w:rPr>
        <w:t>千多人</w:t>
      </w:r>
      <w:r>
        <w:rPr>
          <w:rFonts w:hint="eastAsia" w:ascii="仿宋" w:hAnsi="仿宋" w:eastAsia="仿宋" w:cs="仿宋"/>
          <w:bCs/>
          <w:color w:val="auto"/>
          <w:sz w:val="32"/>
          <w:szCs w:val="32"/>
        </w:rPr>
        <w:t>。</w:t>
      </w:r>
    </w:p>
    <w:p w14:paraId="7673D65F">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Autospacing="0" w:afterAutospacing="0" w:line="560" w:lineRule="exact"/>
        <w:ind w:firstLine="643" w:firstLineChars="200"/>
        <w:jc w:val="both"/>
        <w:rPr>
          <w:rFonts w:hint="eastAsia" w:ascii="仿宋" w:hAnsi="仿宋" w:eastAsia="仿宋" w:cs="仿宋"/>
          <w:b/>
          <w:bCs w:val="0"/>
          <w:sz w:val="32"/>
          <w:szCs w:val="32"/>
          <w:lang w:val="en-US" w:eastAsia="zh-CN"/>
        </w:rPr>
      </w:pPr>
      <w:r>
        <w:rPr>
          <w:rFonts w:hint="eastAsia" w:ascii="仿宋" w:hAnsi="仿宋" w:eastAsia="仿宋" w:cs="仿宋"/>
          <w:b/>
          <w:bCs w:val="0"/>
          <w:snapToGrid w:val="0"/>
          <w:color w:val="000000"/>
          <w:kern w:val="0"/>
          <w:sz w:val="32"/>
          <w:szCs w:val="32"/>
          <w:lang w:val="en-US" w:eastAsia="zh-CN" w:bidi="ar-SA"/>
        </w:rPr>
        <w:t>4.</w:t>
      </w:r>
      <w:r>
        <w:rPr>
          <w:rFonts w:hint="eastAsia" w:ascii="仿宋" w:hAnsi="仿宋" w:eastAsia="仿宋" w:cs="仿宋"/>
          <w:b/>
          <w:bCs w:val="0"/>
          <w:sz w:val="32"/>
          <w:szCs w:val="32"/>
          <w:lang w:val="en-US" w:eastAsia="zh-CN"/>
        </w:rPr>
        <w:t>绩效目标设定情况</w:t>
      </w:r>
    </w:p>
    <w:p w14:paraId="4D8A4678">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jc w:val="both"/>
        <w:rPr>
          <w:rFonts w:hint="eastAsia" w:ascii="仿宋" w:hAnsi="仿宋" w:eastAsia="仿宋" w:cs="仿宋"/>
          <w:bCs/>
          <w:color w:val="auto"/>
          <w:sz w:val="32"/>
          <w:szCs w:val="32"/>
        </w:rPr>
      </w:pPr>
      <w:r>
        <w:rPr>
          <w:rFonts w:hint="eastAsia" w:ascii="仿宋" w:hAnsi="仿宋" w:eastAsia="仿宋" w:cs="仿宋"/>
          <w:bCs/>
          <w:color w:val="auto"/>
          <w:sz w:val="32"/>
          <w:szCs w:val="32"/>
        </w:rPr>
        <w:t>根据学校总体发展目标，主要绩效目标如下：</w:t>
      </w:r>
    </w:p>
    <w:p w14:paraId="41D4730D">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jc w:val="both"/>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1</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认真落实立德树人根本任务，围绕“三高四新”和“五新四城”发展战略，以“建设武陵山片区领先、全省一流、特色明显的地市级开放大学”为目标。</w:t>
      </w:r>
    </w:p>
    <w:p w14:paraId="68AFA1E7">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jc w:val="both"/>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2</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围绕怀化市委、市政府中心工作，提升服务能力，深化教育改革，规范办学行为，按照“四轮驱动”办学发展理念，实施“八大提升工程”，推动学校教育教学高质量发展，促进学校加快实现服务终身教育的转型升级。</w:t>
      </w:r>
    </w:p>
    <w:p w14:paraId="42FF960B">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（二）部门（单位）整体支出规模、使用方向和主要内容、涉及范围等</w:t>
      </w:r>
    </w:p>
    <w:p w14:paraId="6DE6670C">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jc w:val="both"/>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rPr>
        <w:t>202</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学校</w:t>
      </w:r>
      <w:r>
        <w:rPr>
          <w:rFonts w:hint="eastAsia" w:ascii="仿宋" w:hAnsi="仿宋" w:eastAsia="仿宋" w:cs="仿宋"/>
          <w:bCs/>
          <w:color w:val="auto"/>
          <w:sz w:val="32"/>
          <w:szCs w:val="32"/>
        </w:rPr>
        <w:t>整体支出</w:t>
      </w:r>
      <w:r>
        <w:rPr>
          <w:rFonts w:hint="eastAsia" w:ascii="仿宋" w:hAnsi="仿宋" w:eastAsia="仿宋" w:cs="仿宋"/>
          <w:bCs/>
          <w:color w:val="auto"/>
          <w:sz w:val="32"/>
          <w:szCs w:val="32"/>
          <w:lang w:val="en-US" w:eastAsia="zh-CN"/>
        </w:rPr>
        <w:t>1936.57</w:t>
      </w:r>
      <w:r>
        <w:rPr>
          <w:rFonts w:hint="eastAsia" w:ascii="仿宋" w:hAnsi="仿宋" w:eastAsia="仿宋" w:cs="仿宋"/>
          <w:bCs/>
          <w:color w:val="auto"/>
          <w:sz w:val="32"/>
          <w:szCs w:val="32"/>
        </w:rPr>
        <w:t>万元。主要用于学校的正常运转、教学教研及后勤服务等方面开支的费用，其中：基本</w:t>
      </w:r>
      <w:r>
        <w:rPr>
          <w:rFonts w:hint="eastAsia" w:ascii="仿宋" w:hAnsi="仿宋" w:eastAsia="仿宋" w:cs="仿宋"/>
          <w:bCs/>
          <w:color w:val="auto"/>
          <w:sz w:val="32"/>
          <w:szCs w:val="32"/>
          <w:highlight w:val="none"/>
        </w:rPr>
        <w:t>支出</w:t>
      </w:r>
      <w:r>
        <w:rPr>
          <w:rFonts w:hint="eastAsia" w:ascii="仿宋" w:hAnsi="仿宋" w:eastAsia="仿宋" w:cs="仿宋"/>
          <w:bCs/>
          <w:color w:val="auto"/>
          <w:sz w:val="32"/>
          <w:szCs w:val="32"/>
          <w:highlight w:val="none"/>
          <w:lang w:val="en-US" w:eastAsia="zh-CN"/>
        </w:rPr>
        <w:t>1312.59</w:t>
      </w:r>
      <w:r>
        <w:rPr>
          <w:rFonts w:hint="eastAsia" w:ascii="仿宋" w:hAnsi="仿宋" w:eastAsia="仿宋" w:cs="仿宋"/>
          <w:bCs/>
          <w:color w:val="auto"/>
          <w:sz w:val="32"/>
          <w:szCs w:val="32"/>
          <w:highlight w:val="none"/>
        </w:rPr>
        <w:t>万元，项目支出</w:t>
      </w:r>
      <w:r>
        <w:rPr>
          <w:rFonts w:hint="eastAsia" w:ascii="仿宋" w:hAnsi="仿宋" w:eastAsia="仿宋" w:cs="仿宋"/>
          <w:bCs/>
          <w:color w:val="auto"/>
          <w:sz w:val="32"/>
          <w:szCs w:val="32"/>
          <w:highlight w:val="none"/>
          <w:lang w:val="en-US" w:eastAsia="zh-CN"/>
        </w:rPr>
        <w:t>623.98</w:t>
      </w:r>
      <w:r>
        <w:rPr>
          <w:rFonts w:hint="eastAsia" w:ascii="仿宋" w:hAnsi="仿宋" w:eastAsia="仿宋" w:cs="仿宋"/>
          <w:bCs/>
          <w:color w:val="auto"/>
          <w:sz w:val="32"/>
          <w:szCs w:val="32"/>
          <w:highlight w:val="none"/>
        </w:rPr>
        <w:t>万元</w:t>
      </w:r>
      <w:r>
        <w:rPr>
          <w:rFonts w:hint="eastAsia" w:ascii="仿宋" w:hAnsi="仿宋" w:eastAsia="仿宋" w:cs="仿宋"/>
          <w:bCs/>
          <w:color w:val="auto"/>
          <w:sz w:val="32"/>
          <w:szCs w:val="32"/>
        </w:rPr>
        <w:t>。</w:t>
      </w:r>
    </w:p>
    <w:p w14:paraId="1F950FFA">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二、部门整体支出管理及使用情况</w:t>
      </w:r>
    </w:p>
    <w:p w14:paraId="16FCB310">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（一）基本支出</w:t>
      </w:r>
    </w:p>
    <w:p w14:paraId="53A5822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i w:val="0"/>
          <w:iCs w:val="0"/>
          <w:caps w:val="0"/>
          <w:color w:val="auto"/>
          <w:spacing w:val="0"/>
          <w:sz w:val="32"/>
          <w:szCs w:val="32"/>
          <w:highlight w:val="none"/>
        </w:rPr>
      </w:pPr>
      <w:r>
        <w:rPr>
          <w:rFonts w:hint="eastAsia" w:ascii="仿宋" w:hAnsi="仿宋" w:eastAsia="仿宋" w:cs="仿宋"/>
          <w:i w:val="0"/>
          <w:iCs w:val="0"/>
          <w:caps w:val="0"/>
          <w:color w:val="auto"/>
          <w:spacing w:val="0"/>
          <w:sz w:val="32"/>
          <w:szCs w:val="32"/>
          <w:highlight w:val="none"/>
          <w:vertAlign w:val="baseline"/>
        </w:rPr>
        <w:t>202</w:t>
      </w:r>
      <w:r>
        <w:rPr>
          <w:rFonts w:hint="eastAsia" w:ascii="仿宋" w:hAnsi="仿宋" w:eastAsia="仿宋" w:cs="仿宋"/>
          <w:i w:val="0"/>
          <w:iCs w:val="0"/>
          <w:caps w:val="0"/>
          <w:color w:val="auto"/>
          <w:spacing w:val="0"/>
          <w:sz w:val="32"/>
          <w:szCs w:val="32"/>
          <w:highlight w:val="none"/>
          <w:vertAlign w:val="baseline"/>
          <w:lang w:val="en-US" w:eastAsia="zh-CN"/>
        </w:rPr>
        <w:t>4</w:t>
      </w:r>
      <w:r>
        <w:rPr>
          <w:rFonts w:hint="eastAsia" w:ascii="仿宋" w:hAnsi="仿宋" w:eastAsia="仿宋" w:cs="仿宋"/>
          <w:i w:val="0"/>
          <w:iCs w:val="0"/>
          <w:caps w:val="0"/>
          <w:color w:val="auto"/>
          <w:spacing w:val="0"/>
          <w:sz w:val="32"/>
          <w:szCs w:val="32"/>
          <w:highlight w:val="none"/>
          <w:vertAlign w:val="baseline"/>
        </w:rPr>
        <w:t>年基本支出</w:t>
      </w:r>
      <w:r>
        <w:rPr>
          <w:rFonts w:hint="eastAsia" w:ascii="仿宋" w:hAnsi="仿宋" w:eastAsia="仿宋" w:cs="仿宋"/>
          <w:i w:val="0"/>
          <w:iCs w:val="0"/>
          <w:caps w:val="0"/>
          <w:color w:val="auto"/>
          <w:spacing w:val="0"/>
          <w:sz w:val="32"/>
          <w:szCs w:val="32"/>
          <w:highlight w:val="none"/>
          <w:vertAlign w:val="baseline"/>
          <w:lang w:val="en-US" w:eastAsia="zh-CN"/>
        </w:rPr>
        <w:t>1312.59</w:t>
      </w:r>
      <w:r>
        <w:rPr>
          <w:rFonts w:hint="eastAsia" w:ascii="仿宋" w:hAnsi="仿宋" w:eastAsia="仿宋" w:cs="仿宋"/>
          <w:i w:val="0"/>
          <w:iCs w:val="0"/>
          <w:caps w:val="0"/>
          <w:color w:val="auto"/>
          <w:spacing w:val="0"/>
          <w:sz w:val="32"/>
          <w:szCs w:val="32"/>
          <w:highlight w:val="none"/>
          <w:vertAlign w:val="baseline"/>
        </w:rPr>
        <w:t>万元，其中：工资福利支出</w:t>
      </w:r>
      <w:r>
        <w:rPr>
          <w:rFonts w:hint="eastAsia" w:ascii="仿宋" w:hAnsi="仿宋" w:eastAsia="仿宋" w:cs="仿宋"/>
          <w:i w:val="0"/>
          <w:iCs w:val="0"/>
          <w:caps w:val="0"/>
          <w:color w:val="auto"/>
          <w:spacing w:val="0"/>
          <w:sz w:val="32"/>
          <w:szCs w:val="32"/>
          <w:highlight w:val="none"/>
          <w:vertAlign w:val="baseline"/>
          <w:lang w:val="en-US" w:eastAsia="zh-CN"/>
        </w:rPr>
        <w:t>985.72</w:t>
      </w:r>
      <w:r>
        <w:rPr>
          <w:rFonts w:hint="eastAsia" w:ascii="仿宋" w:hAnsi="仿宋" w:eastAsia="仿宋" w:cs="仿宋"/>
          <w:i w:val="0"/>
          <w:iCs w:val="0"/>
          <w:caps w:val="0"/>
          <w:color w:val="auto"/>
          <w:spacing w:val="0"/>
          <w:sz w:val="32"/>
          <w:szCs w:val="32"/>
          <w:highlight w:val="none"/>
          <w:vertAlign w:val="baseline"/>
        </w:rPr>
        <w:t>万元，商品和服务支出</w:t>
      </w:r>
      <w:r>
        <w:rPr>
          <w:rFonts w:hint="eastAsia" w:ascii="仿宋" w:hAnsi="仿宋" w:eastAsia="仿宋" w:cs="仿宋"/>
          <w:i w:val="0"/>
          <w:iCs w:val="0"/>
          <w:caps w:val="0"/>
          <w:color w:val="auto"/>
          <w:spacing w:val="0"/>
          <w:sz w:val="32"/>
          <w:szCs w:val="32"/>
          <w:highlight w:val="none"/>
          <w:vertAlign w:val="baseline"/>
          <w:lang w:val="en-US" w:eastAsia="zh-CN"/>
        </w:rPr>
        <w:t>275.24</w:t>
      </w:r>
      <w:r>
        <w:rPr>
          <w:rFonts w:hint="eastAsia" w:ascii="仿宋" w:hAnsi="仿宋" w:eastAsia="仿宋" w:cs="仿宋"/>
          <w:i w:val="0"/>
          <w:iCs w:val="0"/>
          <w:caps w:val="0"/>
          <w:color w:val="auto"/>
          <w:spacing w:val="0"/>
          <w:sz w:val="32"/>
          <w:szCs w:val="32"/>
          <w:highlight w:val="none"/>
          <w:vertAlign w:val="baseline"/>
        </w:rPr>
        <w:t>万元，对个人和家庭的补助支出</w:t>
      </w:r>
      <w:r>
        <w:rPr>
          <w:rFonts w:hint="eastAsia" w:ascii="仿宋" w:hAnsi="仿宋" w:eastAsia="仿宋" w:cs="仿宋"/>
          <w:i w:val="0"/>
          <w:iCs w:val="0"/>
          <w:caps w:val="0"/>
          <w:color w:val="auto"/>
          <w:spacing w:val="0"/>
          <w:sz w:val="32"/>
          <w:szCs w:val="32"/>
          <w:highlight w:val="none"/>
          <w:vertAlign w:val="baseline"/>
          <w:lang w:val="en-US" w:eastAsia="zh-CN"/>
        </w:rPr>
        <w:t>51.63</w:t>
      </w:r>
      <w:r>
        <w:rPr>
          <w:rFonts w:hint="eastAsia" w:ascii="仿宋" w:hAnsi="仿宋" w:eastAsia="仿宋" w:cs="仿宋"/>
          <w:i w:val="0"/>
          <w:iCs w:val="0"/>
          <w:caps w:val="0"/>
          <w:color w:val="auto"/>
          <w:spacing w:val="0"/>
          <w:sz w:val="32"/>
          <w:szCs w:val="32"/>
          <w:highlight w:val="none"/>
          <w:vertAlign w:val="baseline"/>
        </w:rPr>
        <w:t>万元。</w:t>
      </w:r>
    </w:p>
    <w:p w14:paraId="10542B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baseline"/>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vertAlign w:val="baseline"/>
        </w:rPr>
        <w:t>我校在“三公”经费的使用和管理上先后出台了本单位公务接待、车辆集中管理、差旅、会议、培训等管理办法，实行了“三公”经费公示制度，有效地控制了“三公”经费支出。</w:t>
      </w:r>
    </w:p>
    <w:p w14:paraId="4DB29F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3" w:firstLineChars="200"/>
        <w:jc w:val="both"/>
        <w:textAlignment w:val="baseline"/>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vertAlign w:val="baseline"/>
        </w:rPr>
        <w:t>1</w:t>
      </w:r>
      <w:r>
        <w:rPr>
          <w:rFonts w:hint="eastAsia" w:ascii="仿宋" w:hAnsi="仿宋" w:eastAsia="仿宋" w:cs="仿宋"/>
          <w:b/>
          <w:bCs/>
          <w:i w:val="0"/>
          <w:iCs w:val="0"/>
          <w:caps w:val="0"/>
          <w:color w:val="auto"/>
          <w:spacing w:val="0"/>
          <w:sz w:val="32"/>
          <w:szCs w:val="32"/>
          <w:vertAlign w:val="baseline"/>
          <w:lang w:val="en-US" w:eastAsia="zh-CN"/>
        </w:rPr>
        <w:t>.</w:t>
      </w:r>
      <w:r>
        <w:rPr>
          <w:rFonts w:hint="eastAsia" w:ascii="仿宋" w:hAnsi="仿宋" w:eastAsia="仿宋" w:cs="仿宋"/>
          <w:b/>
          <w:bCs/>
          <w:i w:val="0"/>
          <w:iCs w:val="0"/>
          <w:caps w:val="0"/>
          <w:color w:val="auto"/>
          <w:spacing w:val="0"/>
          <w:sz w:val="32"/>
          <w:szCs w:val="32"/>
          <w:vertAlign w:val="baseline"/>
        </w:rPr>
        <w:t>严格控制公务接待。</w:t>
      </w:r>
      <w:r>
        <w:rPr>
          <w:rFonts w:hint="eastAsia" w:ascii="仿宋" w:hAnsi="仿宋" w:eastAsia="仿宋" w:cs="仿宋"/>
          <w:i w:val="0"/>
          <w:iCs w:val="0"/>
          <w:caps w:val="0"/>
          <w:color w:val="auto"/>
          <w:spacing w:val="0"/>
          <w:sz w:val="32"/>
          <w:szCs w:val="32"/>
          <w:vertAlign w:val="baseline"/>
        </w:rPr>
        <w:t>我校公务接待工作按照简化礼仪、务实节俭、杜绝浪费的原则管理和规范公务接待工作，并明确接待用餐档次和限额。接待费报账需要出具接待函、接待清单、</w:t>
      </w:r>
      <w:r>
        <w:rPr>
          <w:rFonts w:hint="eastAsia" w:ascii="仿宋" w:hAnsi="仿宋" w:eastAsia="仿宋" w:cs="仿宋"/>
          <w:i w:val="0"/>
          <w:iCs w:val="0"/>
          <w:caps w:val="0"/>
          <w:color w:val="auto"/>
          <w:spacing w:val="0"/>
          <w:sz w:val="32"/>
          <w:szCs w:val="32"/>
          <w:vertAlign w:val="baseline"/>
          <w:lang w:val="en-US" w:eastAsia="zh-CN"/>
        </w:rPr>
        <w:t>接待网控单、</w:t>
      </w:r>
      <w:r>
        <w:rPr>
          <w:rFonts w:hint="eastAsia" w:ascii="仿宋" w:hAnsi="仿宋" w:eastAsia="仿宋" w:cs="仿宋"/>
          <w:i w:val="0"/>
          <w:iCs w:val="0"/>
          <w:caps w:val="0"/>
          <w:color w:val="auto"/>
          <w:spacing w:val="0"/>
          <w:sz w:val="32"/>
          <w:szCs w:val="32"/>
          <w:vertAlign w:val="baseline"/>
        </w:rPr>
        <w:t>菜单、公务卡结算单、正规餐饮发票方可报账。202</w:t>
      </w:r>
      <w:r>
        <w:rPr>
          <w:rFonts w:hint="eastAsia" w:ascii="仿宋" w:hAnsi="仿宋" w:eastAsia="仿宋" w:cs="仿宋"/>
          <w:i w:val="0"/>
          <w:iCs w:val="0"/>
          <w:caps w:val="0"/>
          <w:color w:val="auto"/>
          <w:spacing w:val="0"/>
          <w:sz w:val="32"/>
          <w:szCs w:val="32"/>
          <w:vertAlign w:val="baseline"/>
          <w:lang w:val="en-US" w:eastAsia="zh-CN"/>
        </w:rPr>
        <w:t>4</w:t>
      </w:r>
      <w:r>
        <w:rPr>
          <w:rFonts w:hint="eastAsia" w:ascii="仿宋" w:hAnsi="仿宋" w:eastAsia="仿宋" w:cs="仿宋"/>
          <w:i w:val="0"/>
          <w:iCs w:val="0"/>
          <w:caps w:val="0"/>
          <w:color w:val="auto"/>
          <w:spacing w:val="0"/>
          <w:sz w:val="32"/>
          <w:szCs w:val="32"/>
          <w:vertAlign w:val="baseline"/>
        </w:rPr>
        <w:t>年我校公务接待费</w:t>
      </w:r>
      <w:r>
        <w:rPr>
          <w:rFonts w:hint="eastAsia" w:ascii="仿宋" w:hAnsi="仿宋" w:eastAsia="仿宋" w:cs="仿宋"/>
          <w:i w:val="0"/>
          <w:iCs w:val="0"/>
          <w:caps w:val="0"/>
          <w:color w:val="auto"/>
          <w:spacing w:val="0"/>
          <w:sz w:val="32"/>
          <w:szCs w:val="32"/>
          <w:vertAlign w:val="baseline"/>
          <w:lang w:val="en-US" w:eastAsia="zh-CN"/>
        </w:rPr>
        <w:t>2.11</w:t>
      </w:r>
      <w:r>
        <w:rPr>
          <w:rFonts w:hint="eastAsia" w:ascii="仿宋" w:hAnsi="仿宋" w:eastAsia="仿宋" w:cs="仿宋"/>
          <w:i w:val="0"/>
          <w:iCs w:val="0"/>
          <w:caps w:val="0"/>
          <w:color w:val="auto"/>
          <w:spacing w:val="0"/>
          <w:sz w:val="32"/>
          <w:szCs w:val="32"/>
          <w:vertAlign w:val="baseline"/>
        </w:rPr>
        <w:t>万元，较上年</w:t>
      </w:r>
      <w:r>
        <w:rPr>
          <w:rFonts w:hint="eastAsia" w:ascii="仿宋" w:hAnsi="仿宋" w:eastAsia="仿宋" w:cs="仿宋"/>
          <w:i w:val="0"/>
          <w:iCs w:val="0"/>
          <w:caps w:val="0"/>
          <w:color w:val="auto"/>
          <w:spacing w:val="0"/>
          <w:sz w:val="32"/>
          <w:szCs w:val="32"/>
          <w:vertAlign w:val="baseline"/>
          <w:lang w:val="en-US" w:eastAsia="zh-CN"/>
        </w:rPr>
        <w:t>2.43</w:t>
      </w:r>
      <w:r>
        <w:rPr>
          <w:rFonts w:hint="eastAsia" w:ascii="仿宋" w:hAnsi="仿宋" w:eastAsia="仿宋" w:cs="仿宋"/>
          <w:i w:val="0"/>
          <w:iCs w:val="0"/>
          <w:caps w:val="0"/>
          <w:color w:val="auto"/>
          <w:spacing w:val="0"/>
          <w:sz w:val="32"/>
          <w:szCs w:val="32"/>
          <w:vertAlign w:val="baseline"/>
        </w:rPr>
        <w:t>万元减少</w:t>
      </w:r>
      <w:r>
        <w:rPr>
          <w:rFonts w:hint="eastAsia" w:ascii="仿宋" w:hAnsi="仿宋" w:eastAsia="仿宋" w:cs="仿宋"/>
          <w:i w:val="0"/>
          <w:iCs w:val="0"/>
          <w:caps w:val="0"/>
          <w:color w:val="auto"/>
          <w:spacing w:val="0"/>
          <w:sz w:val="32"/>
          <w:szCs w:val="32"/>
          <w:vertAlign w:val="baseline"/>
          <w:lang w:val="en-US" w:eastAsia="zh-CN"/>
        </w:rPr>
        <w:t>0.32</w:t>
      </w:r>
      <w:r>
        <w:rPr>
          <w:rFonts w:hint="eastAsia" w:ascii="仿宋" w:hAnsi="仿宋" w:eastAsia="仿宋" w:cs="仿宋"/>
          <w:i w:val="0"/>
          <w:iCs w:val="0"/>
          <w:caps w:val="0"/>
          <w:color w:val="auto"/>
          <w:spacing w:val="0"/>
          <w:sz w:val="32"/>
          <w:szCs w:val="32"/>
          <w:vertAlign w:val="baseline"/>
        </w:rPr>
        <w:t>万元，减少比例为</w:t>
      </w:r>
      <w:r>
        <w:rPr>
          <w:rFonts w:hint="eastAsia" w:ascii="仿宋" w:hAnsi="仿宋" w:eastAsia="仿宋" w:cs="仿宋"/>
          <w:i w:val="0"/>
          <w:iCs w:val="0"/>
          <w:caps w:val="0"/>
          <w:color w:val="auto"/>
          <w:spacing w:val="0"/>
          <w:sz w:val="32"/>
          <w:szCs w:val="32"/>
          <w:vertAlign w:val="baseline"/>
          <w:lang w:val="en-US" w:eastAsia="zh-CN"/>
        </w:rPr>
        <w:t>13.17</w:t>
      </w:r>
      <w:r>
        <w:rPr>
          <w:rFonts w:hint="eastAsia" w:ascii="仿宋" w:hAnsi="仿宋" w:eastAsia="仿宋" w:cs="仿宋"/>
          <w:i w:val="0"/>
          <w:iCs w:val="0"/>
          <w:caps w:val="0"/>
          <w:color w:val="auto"/>
          <w:spacing w:val="0"/>
          <w:sz w:val="32"/>
          <w:szCs w:val="32"/>
          <w:vertAlign w:val="baseline"/>
        </w:rPr>
        <w:t>%。</w:t>
      </w:r>
    </w:p>
    <w:p w14:paraId="0820AE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3" w:firstLineChars="200"/>
        <w:jc w:val="both"/>
        <w:textAlignment w:val="baseline"/>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vertAlign w:val="baseline"/>
        </w:rPr>
        <w:t>2</w:t>
      </w:r>
      <w:r>
        <w:rPr>
          <w:rFonts w:hint="eastAsia" w:ascii="仿宋" w:hAnsi="仿宋" w:eastAsia="仿宋" w:cs="仿宋"/>
          <w:b/>
          <w:bCs/>
          <w:i w:val="0"/>
          <w:iCs w:val="0"/>
          <w:caps w:val="0"/>
          <w:color w:val="auto"/>
          <w:spacing w:val="0"/>
          <w:sz w:val="32"/>
          <w:szCs w:val="32"/>
          <w:vertAlign w:val="baseline"/>
          <w:lang w:val="en-US" w:eastAsia="zh-CN"/>
        </w:rPr>
        <w:t>.</w:t>
      </w:r>
      <w:r>
        <w:rPr>
          <w:rFonts w:hint="eastAsia" w:ascii="仿宋" w:hAnsi="仿宋" w:eastAsia="仿宋" w:cs="仿宋"/>
          <w:b/>
          <w:bCs/>
          <w:i w:val="0"/>
          <w:iCs w:val="0"/>
          <w:caps w:val="0"/>
          <w:color w:val="auto"/>
          <w:spacing w:val="0"/>
          <w:sz w:val="32"/>
          <w:szCs w:val="32"/>
          <w:vertAlign w:val="baseline"/>
        </w:rPr>
        <w:t>严格规范公务用车。</w:t>
      </w:r>
      <w:r>
        <w:rPr>
          <w:rFonts w:hint="eastAsia" w:ascii="仿宋" w:hAnsi="仿宋" w:eastAsia="仿宋" w:cs="仿宋"/>
          <w:i w:val="0"/>
          <w:iCs w:val="0"/>
          <w:caps w:val="0"/>
          <w:color w:val="auto"/>
          <w:spacing w:val="0"/>
          <w:sz w:val="32"/>
          <w:szCs w:val="32"/>
          <w:vertAlign w:val="baseline"/>
        </w:rPr>
        <w:t>学校先后制订了《怀化</w:t>
      </w:r>
      <w:r>
        <w:rPr>
          <w:rFonts w:hint="eastAsia" w:ascii="仿宋" w:hAnsi="仿宋" w:eastAsia="仿宋" w:cs="仿宋"/>
          <w:i w:val="0"/>
          <w:iCs w:val="0"/>
          <w:caps w:val="0"/>
          <w:color w:val="auto"/>
          <w:spacing w:val="0"/>
          <w:sz w:val="32"/>
          <w:szCs w:val="32"/>
          <w:vertAlign w:val="baseline"/>
          <w:lang w:val="en-US" w:eastAsia="zh-CN"/>
        </w:rPr>
        <w:t>开放</w:t>
      </w:r>
      <w:r>
        <w:rPr>
          <w:rFonts w:hint="eastAsia" w:ascii="仿宋" w:hAnsi="仿宋" w:eastAsia="仿宋" w:cs="仿宋"/>
          <w:i w:val="0"/>
          <w:iCs w:val="0"/>
          <w:caps w:val="0"/>
          <w:color w:val="auto"/>
          <w:spacing w:val="0"/>
          <w:sz w:val="32"/>
          <w:szCs w:val="32"/>
          <w:vertAlign w:val="baseline"/>
        </w:rPr>
        <w:t>大学车辆管理制度》、《怀化</w:t>
      </w:r>
      <w:r>
        <w:rPr>
          <w:rFonts w:hint="eastAsia" w:ascii="仿宋" w:hAnsi="仿宋" w:eastAsia="仿宋" w:cs="仿宋"/>
          <w:i w:val="0"/>
          <w:iCs w:val="0"/>
          <w:caps w:val="0"/>
          <w:color w:val="auto"/>
          <w:spacing w:val="0"/>
          <w:sz w:val="32"/>
          <w:szCs w:val="32"/>
          <w:vertAlign w:val="baseline"/>
          <w:lang w:val="en-US" w:eastAsia="zh-CN"/>
        </w:rPr>
        <w:t>开</w:t>
      </w:r>
      <w:r>
        <w:rPr>
          <w:rFonts w:hint="eastAsia" w:ascii="仿宋" w:hAnsi="仿宋" w:eastAsia="仿宋" w:cs="仿宋"/>
          <w:i w:val="0"/>
          <w:iCs w:val="0"/>
          <w:caps w:val="0"/>
          <w:color w:val="auto"/>
          <w:spacing w:val="0"/>
          <w:sz w:val="32"/>
          <w:szCs w:val="32"/>
          <w:vertAlign w:val="baseline"/>
        </w:rPr>
        <w:t>大车辆驾驶员管理制度》，车辆的保险和维修必须到政府采购指定保险公司购买和厂家维修；车辆汽油费必须统一用加油卡、公务卡结算，不得报销任何零星汽油费；车辆过路费必须同差旅费一同报销。202</w:t>
      </w:r>
      <w:r>
        <w:rPr>
          <w:rFonts w:hint="eastAsia" w:ascii="仿宋" w:hAnsi="仿宋" w:eastAsia="仿宋" w:cs="仿宋"/>
          <w:i w:val="0"/>
          <w:iCs w:val="0"/>
          <w:caps w:val="0"/>
          <w:color w:val="auto"/>
          <w:spacing w:val="0"/>
          <w:sz w:val="32"/>
          <w:szCs w:val="32"/>
          <w:vertAlign w:val="baseline"/>
          <w:lang w:val="en-US" w:eastAsia="zh-CN"/>
        </w:rPr>
        <w:t>4</w:t>
      </w:r>
      <w:r>
        <w:rPr>
          <w:rFonts w:hint="eastAsia" w:ascii="仿宋" w:hAnsi="仿宋" w:eastAsia="仿宋" w:cs="仿宋"/>
          <w:i w:val="0"/>
          <w:iCs w:val="0"/>
          <w:caps w:val="0"/>
          <w:color w:val="auto"/>
          <w:spacing w:val="0"/>
          <w:sz w:val="32"/>
          <w:szCs w:val="32"/>
          <w:vertAlign w:val="baseline"/>
        </w:rPr>
        <w:t>年我校公务用车运行维护费0万元，与上年持平。</w:t>
      </w:r>
    </w:p>
    <w:p w14:paraId="54EC45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i w:val="0"/>
          <w:iCs w:val="0"/>
          <w:caps w:val="0"/>
          <w:color w:val="auto"/>
          <w:spacing w:val="0"/>
          <w:sz w:val="32"/>
          <w:szCs w:val="32"/>
          <w:vertAlign w:val="baseline"/>
        </w:rPr>
        <w:t>3</w:t>
      </w:r>
      <w:r>
        <w:rPr>
          <w:rFonts w:hint="eastAsia" w:ascii="仿宋" w:hAnsi="仿宋" w:eastAsia="仿宋" w:cs="仿宋"/>
          <w:i w:val="0"/>
          <w:iCs w:val="0"/>
          <w:caps w:val="0"/>
          <w:color w:val="auto"/>
          <w:spacing w:val="0"/>
          <w:sz w:val="32"/>
          <w:szCs w:val="32"/>
          <w:vertAlign w:val="baseline"/>
          <w:lang w:val="en-US" w:eastAsia="zh-CN"/>
        </w:rPr>
        <w:t>.</w:t>
      </w:r>
      <w:r>
        <w:rPr>
          <w:rFonts w:hint="eastAsia" w:ascii="仿宋" w:hAnsi="仿宋" w:eastAsia="仿宋" w:cs="仿宋"/>
          <w:i w:val="0"/>
          <w:iCs w:val="0"/>
          <w:caps w:val="0"/>
          <w:color w:val="auto"/>
          <w:spacing w:val="0"/>
          <w:sz w:val="32"/>
          <w:szCs w:val="32"/>
          <w:vertAlign w:val="baseline"/>
        </w:rPr>
        <w:t>严格控制公务出国（境）费。202</w:t>
      </w:r>
      <w:r>
        <w:rPr>
          <w:rFonts w:hint="eastAsia" w:ascii="仿宋" w:hAnsi="仿宋" w:eastAsia="仿宋" w:cs="仿宋"/>
          <w:i w:val="0"/>
          <w:iCs w:val="0"/>
          <w:caps w:val="0"/>
          <w:color w:val="auto"/>
          <w:spacing w:val="0"/>
          <w:sz w:val="32"/>
          <w:szCs w:val="32"/>
          <w:vertAlign w:val="baseline"/>
          <w:lang w:val="en-US" w:eastAsia="zh-CN"/>
        </w:rPr>
        <w:t>4</w:t>
      </w:r>
      <w:r>
        <w:rPr>
          <w:rFonts w:hint="eastAsia" w:ascii="仿宋" w:hAnsi="仿宋" w:eastAsia="仿宋" w:cs="仿宋"/>
          <w:i w:val="0"/>
          <w:iCs w:val="0"/>
          <w:caps w:val="0"/>
          <w:color w:val="auto"/>
          <w:spacing w:val="0"/>
          <w:sz w:val="32"/>
          <w:szCs w:val="32"/>
          <w:vertAlign w:val="baseline"/>
        </w:rPr>
        <w:t>年我校出国（境）费为0万元。</w:t>
      </w:r>
    </w:p>
    <w:p w14:paraId="67638621">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 w:hAnsi="仿宋" w:eastAsia="仿宋" w:cs="仿宋"/>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（二）项目支出</w:t>
      </w:r>
    </w:p>
    <w:p w14:paraId="1324F4DE">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1.项目资金（包括财政资金、自筹资金等）安排落实、总投入等情况分析</w:t>
      </w:r>
    </w:p>
    <w:p w14:paraId="60A3F7CC">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i w:val="0"/>
          <w:iCs w:val="0"/>
          <w:caps w:val="0"/>
          <w:color w:val="auto"/>
          <w:spacing w:val="0"/>
          <w:sz w:val="32"/>
          <w:szCs w:val="32"/>
          <w:highlight w:val="none"/>
          <w:vertAlign w:val="baseline"/>
          <w:lang w:val="en-US" w:eastAsia="zh-CN"/>
        </w:rPr>
      </w:pPr>
      <w:r>
        <w:rPr>
          <w:rFonts w:hint="eastAsia" w:ascii="仿宋" w:hAnsi="仿宋" w:eastAsia="仿宋" w:cs="仿宋"/>
          <w:i w:val="0"/>
          <w:iCs w:val="0"/>
          <w:caps w:val="0"/>
          <w:color w:val="000000"/>
          <w:spacing w:val="0"/>
          <w:sz w:val="32"/>
          <w:szCs w:val="32"/>
          <w:shd w:val="clear" w:fill="FFFFFF"/>
        </w:rPr>
        <w:t>202</w:t>
      </w: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rPr>
        <w:t>年度我</w:t>
      </w:r>
      <w:r>
        <w:rPr>
          <w:rFonts w:hint="eastAsia" w:ascii="仿宋" w:hAnsi="仿宋" w:eastAsia="仿宋" w:cs="仿宋"/>
          <w:i w:val="0"/>
          <w:iCs w:val="0"/>
          <w:caps w:val="0"/>
          <w:color w:val="000000"/>
          <w:spacing w:val="0"/>
          <w:sz w:val="32"/>
          <w:szCs w:val="32"/>
          <w:shd w:val="clear" w:fill="FFFFFF"/>
          <w:lang w:val="en-US" w:eastAsia="zh-CN"/>
        </w:rPr>
        <w:t>校项目</w:t>
      </w:r>
      <w:r>
        <w:rPr>
          <w:rFonts w:hint="eastAsia" w:ascii="仿宋" w:hAnsi="仿宋" w:eastAsia="仿宋" w:cs="仿宋"/>
          <w:i w:val="0"/>
          <w:iCs w:val="0"/>
          <w:caps w:val="0"/>
          <w:color w:val="000000"/>
          <w:spacing w:val="0"/>
          <w:sz w:val="32"/>
          <w:szCs w:val="32"/>
          <w:shd w:val="clear" w:fill="FFFFFF"/>
        </w:rPr>
        <w:t>经费共</w:t>
      </w:r>
      <w:r>
        <w:rPr>
          <w:rFonts w:hint="eastAsia" w:ascii="仿宋" w:hAnsi="仿宋" w:eastAsia="仿宋" w:cs="仿宋"/>
          <w:i w:val="0"/>
          <w:iCs w:val="0"/>
          <w:caps w:val="0"/>
          <w:color w:val="000000"/>
          <w:spacing w:val="0"/>
          <w:sz w:val="32"/>
          <w:szCs w:val="32"/>
          <w:shd w:val="clear" w:fill="FFFFFF"/>
          <w:lang w:val="en-US" w:eastAsia="zh-CN"/>
        </w:rPr>
        <w:t>7</w:t>
      </w:r>
      <w:r>
        <w:rPr>
          <w:rFonts w:hint="eastAsia" w:ascii="仿宋" w:hAnsi="仿宋" w:eastAsia="仿宋" w:cs="仿宋"/>
          <w:i w:val="0"/>
          <w:iCs w:val="0"/>
          <w:caps w:val="0"/>
          <w:color w:val="000000"/>
          <w:spacing w:val="0"/>
          <w:sz w:val="32"/>
          <w:szCs w:val="32"/>
          <w:shd w:val="clear" w:fill="FFFFFF"/>
        </w:rPr>
        <w:t>项，总金额</w:t>
      </w:r>
      <w:r>
        <w:rPr>
          <w:rFonts w:hint="eastAsia" w:ascii="仿宋" w:hAnsi="仿宋" w:eastAsia="仿宋" w:cs="仿宋"/>
          <w:i w:val="0"/>
          <w:iCs w:val="0"/>
          <w:caps w:val="0"/>
          <w:color w:val="000000"/>
          <w:spacing w:val="0"/>
          <w:sz w:val="32"/>
          <w:szCs w:val="32"/>
          <w:shd w:val="clear" w:fill="FFFFFF"/>
          <w:lang w:val="en-US" w:eastAsia="zh-CN"/>
        </w:rPr>
        <w:t>623.98</w:t>
      </w:r>
      <w:r>
        <w:rPr>
          <w:rFonts w:hint="eastAsia" w:ascii="仿宋" w:hAnsi="仿宋" w:eastAsia="仿宋" w:cs="仿宋"/>
          <w:i w:val="0"/>
          <w:iCs w:val="0"/>
          <w:caps w:val="0"/>
          <w:color w:val="000000"/>
          <w:spacing w:val="0"/>
          <w:sz w:val="32"/>
          <w:szCs w:val="32"/>
          <w:shd w:val="clear" w:fill="FFFFFF"/>
        </w:rPr>
        <w:t>万元，202</w:t>
      </w: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rPr>
        <w:t>年度实际收到</w:t>
      </w:r>
      <w:r>
        <w:rPr>
          <w:rFonts w:hint="eastAsia" w:ascii="仿宋" w:hAnsi="仿宋" w:eastAsia="仿宋" w:cs="仿宋"/>
          <w:i w:val="0"/>
          <w:iCs w:val="0"/>
          <w:caps w:val="0"/>
          <w:color w:val="000000"/>
          <w:spacing w:val="0"/>
          <w:sz w:val="32"/>
          <w:szCs w:val="32"/>
          <w:shd w:val="clear" w:fill="FFFFFF"/>
          <w:lang w:val="en-US" w:eastAsia="zh-CN"/>
        </w:rPr>
        <w:t>项目</w:t>
      </w:r>
      <w:r>
        <w:rPr>
          <w:rFonts w:hint="eastAsia" w:ascii="仿宋" w:hAnsi="仿宋" w:eastAsia="仿宋" w:cs="仿宋"/>
          <w:i w:val="0"/>
          <w:iCs w:val="0"/>
          <w:caps w:val="0"/>
          <w:color w:val="000000"/>
          <w:spacing w:val="0"/>
          <w:sz w:val="32"/>
          <w:szCs w:val="32"/>
          <w:shd w:val="clear" w:fill="FFFFFF"/>
        </w:rPr>
        <w:t>资金</w:t>
      </w:r>
      <w:r>
        <w:rPr>
          <w:rFonts w:hint="eastAsia" w:ascii="仿宋" w:hAnsi="仿宋" w:eastAsia="仿宋" w:cs="仿宋"/>
          <w:i w:val="0"/>
          <w:iCs w:val="0"/>
          <w:caps w:val="0"/>
          <w:color w:val="000000"/>
          <w:spacing w:val="0"/>
          <w:sz w:val="32"/>
          <w:szCs w:val="32"/>
          <w:shd w:val="clear" w:fill="FFFFFF"/>
          <w:lang w:val="en-US" w:eastAsia="zh-CN"/>
        </w:rPr>
        <w:t>623.98</w:t>
      </w:r>
      <w:r>
        <w:rPr>
          <w:rFonts w:hint="eastAsia" w:ascii="仿宋" w:hAnsi="仿宋" w:eastAsia="仿宋" w:cs="仿宋"/>
          <w:i w:val="0"/>
          <w:iCs w:val="0"/>
          <w:caps w:val="0"/>
          <w:color w:val="000000"/>
          <w:spacing w:val="0"/>
          <w:sz w:val="32"/>
          <w:szCs w:val="32"/>
          <w:shd w:val="clear" w:fill="FFFFFF"/>
        </w:rPr>
        <w:t>万元,预算资金到位率100%</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其中:</w:t>
      </w:r>
      <w:r>
        <w:rPr>
          <w:rFonts w:hint="eastAsia" w:ascii="仿宋" w:hAnsi="仿宋" w:eastAsia="仿宋" w:cs="仿宋"/>
          <w:i w:val="0"/>
          <w:iCs w:val="0"/>
          <w:caps w:val="0"/>
          <w:color w:val="000000"/>
          <w:spacing w:val="0"/>
          <w:sz w:val="32"/>
          <w:szCs w:val="32"/>
          <w:shd w:val="clear" w:fill="FFFFFF"/>
          <w:lang w:val="en-US" w:eastAsia="zh-CN"/>
        </w:rPr>
        <w:t>上交省校各项费用预算</w:t>
      </w:r>
      <w:r>
        <w:rPr>
          <w:rFonts w:hint="eastAsia" w:ascii="仿宋" w:hAnsi="仿宋" w:eastAsia="仿宋" w:cs="仿宋"/>
          <w:i w:val="0"/>
          <w:iCs w:val="0"/>
          <w:caps w:val="0"/>
          <w:color w:val="000000"/>
          <w:spacing w:val="0"/>
          <w:sz w:val="32"/>
          <w:szCs w:val="32"/>
          <w:shd w:val="clear" w:fill="FFFFFF"/>
        </w:rPr>
        <w:t>收入</w:t>
      </w:r>
      <w:r>
        <w:rPr>
          <w:rFonts w:hint="eastAsia" w:ascii="仿宋" w:hAnsi="仿宋" w:eastAsia="仿宋" w:cs="仿宋"/>
          <w:i w:val="0"/>
          <w:iCs w:val="0"/>
          <w:caps w:val="0"/>
          <w:color w:val="000000"/>
          <w:spacing w:val="0"/>
          <w:sz w:val="32"/>
          <w:szCs w:val="32"/>
          <w:shd w:val="clear" w:fill="FFFFFF"/>
          <w:lang w:val="en-US" w:eastAsia="zh-CN"/>
        </w:rPr>
        <w:t>190</w:t>
      </w:r>
      <w:r>
        <w:rPr>
          <w:rFonts w:hint="eastAsia" w:ascii="仿宋" w:hAnsi="仿宋" w:eastAsia="仿宋" w:cs="仿宋"/>
          <w:i w:val="0"/>
          <w:iCs w:val="0"/>
          <w:caps w:val="0"/>
          <w:color w:val="000000"/>
          <w:spacing w:val="0"/>
          <w:sz w:val="32"/>
          <w:szCs w:val="32"/>
          <w:shd w:val="clear" w:fill="FFFFFF"/>
        </w:rPr>
        <w:t>万元，实际到位</w:t>
      </w:r>
      <w:r>
        <w:rPr>
          <w:rFonts w:hint="eastAsia" w:ascii="仿宋" w:hAnsi="仿宋" w:eastAsia="仿宋" w:cs="仿宋"/>
          <w:i w:val="0"/>
          <w:iCs w:val="0"/>
          <w:caps w:val="0"/>
          <w:color w:val="000000"/>
          <w:spacing w:val="0"/>
          <w:sz w:val="32"/>
          <w:szCs w:val="32"/>
          <w:shd w:val="clear" w:fill="FFFFFF"/>
          <w:lang w:val="en-US" w:eastAsia="zh-CN"/>
        </w:rPr>
        <w:t>190</w:t>
      </w:r>
      <w:r>
        <w:rPr>
          <w:rFonts w:hint="eastAsia" w:ascii="仿宋" w:hAnsi="仿宋" w:eastAsia="仿宋" w:cs="仿宋"/>
          <w:i w:val="0"/>
          <w:iCs w:val="0"/>
          <w:caps w:val="0"/>
          <w:color w:val="000000"/>
          <w:spacing w:val="0"/>
          <w:sz w:val="32"/>
          <w:szCs w:val="32"/>
          <w:shd w:val="clear" w:fill="FFFFFF"/>
        </w:rPr>
        <w:t>万元，预算资金到位率100%；</w:t>
      </w:r>
      <w:r>
        <w:rPr>
          <w:rFonts w:hint="eastAsia" w:ascii="仿宋" w:hAnsi="仿宋" w:eastAsia="仿宋" w:cs="仿宋"/>
          <w:i w:val="0"/>
          <w:iCs w:val="0"/>
          <w:caps w:val="0"/>
          <w:color w:val="000000"/>
          <w:spacing w:val="0"/>
          <w:sz w:val="32"/>
          <w:szCs w:val="32"/>
          <w:shd w:val="clear" w:fill="FFFFFF"/>
          <w:lang w:val="en-US" w:eastAsia="zh-CN"/>
        </w:rPr>
        <w:t>办公设备购置</w:t>
      </w:r>
      <w:r>
        <w:rPr>
          <w:rFonts w:hint="eastAsia" w:ascii="仿宋" w:hAnsi="仿宋" w:eastAsia="仿宋" w:cs="仿宋"/>
          <w:i w:val="0"/>
          <w:iCs w:val="0"/>
          <w:caps w:val="0"/>
          <w:color w:val="000000"/>
          <w:spacing w:val="0"/>
          <w:sz w:val="32"/>
          <w:szCs w:val="32"/>
          <w:shd w:val="clear" w:fill="FFFFFF"/>
        </w:rPr>
        <w:t>预算收入</w:t>
      </w:r>
      <w:r>
        <w:rPr>
          <w:rFonts w:hint="eastAsia" w:ascii="仿宋" w:hAnsi="仿宋" w:eastAsia="仿宋" w:cs="仿宋"/>
          <w:i w:val="0"/>
          <w:iCs w:val="0"/>
          <w:caps w:val="0"/>
          <w:color w:val="000000"/>
          <w:spacing w:val="0"/>
          <w:sz w:val="32"/>
          <w:szCs w:val="32"/>
          <w:shd w:val="clear" w:fill="FFFFFF"/>
          <w:lang w:val="en-US" w:eastAsia="zh-CN"/>
        </w:rPr>
        <w:t>10</w:t>
      </w:r>
      <w:r>
        <w:rPr>
          <w:rFonts w:hint="eastAsia" w:ascii="仿宋" w:hAnsi="仿宋" w:eastAsia="仿宋" w:cs="仿宋"/>
          <w:i w:val="0"/>
          <w:iCs w:val="0"/>
          <w:caps w:val="0"/>
          <w:color w:val="000000"/>
          <w:spacing w:val="0"/>
          <w:sz w:val="32"/>
          <w:szCs w:val="32"/>
          <w:shd w:val="clear" w:fill="FFFFFF"/>
        </w:rPr>
        <w:t>万元，实际到位</w:t>
      </w:r>
      <w:r>
        <w:rPr>
          <w:rFonts w:hint="eastAsia" w:ascii="仿宋" w:hAnsi="仿宋" w:eastAsia="仿宋" w:cs="仿宋"/>
          <w:i w:val="0"/>
          <w:iCs w:val="0"/>
          <w:caps w:val="0"/>
          <w:color w:val="000000"/>
          <w:spacing w:val="0"/>
          <w:sz w:val="32"/>
          <w:szCs w:val="32"/>
          <w:shd w:val="clear" w:fill="FFFFFF"/>
          <w:lang w:val="en-US" w:eastAsia="zh-CN"/>
        </w:rPr>
        <w:t>10</w:t>
      </w:r>
      <w:r>
        <w:rPr>
          <w:rFonts w:hint="eastAsia" w:ascii="仿宋" w:hAnsi="仿宋" w:eastAsia="仿宋" w:cs="仿宋"/>
          <w:i w:val="0"/>
          <w:iCs w:val="0"/>
          <w:caps w:val="0"/>
          <w:color w:val="000000"/>
          <w:spacing w:val="0"/>
          <w:sz w:val="32"/>
          <w:szCs w:val="32"/>
          <w:shd w:val="clear" w:fill="FFFFFF"/>
        </w:rPr>
        <w:t>万元，预算资金到位率100%；</w:t>
      </w:r>
      <w:r>
        <w:rPr>
          <w:rFonts w:hint="eastAsia" w:ascii="仿宋" w:hAnsi="仿宋" w:eastAsia="仿宋" w:cs="仿宋"/>
          <w:i w:val="0"/>
          <w:iCs w:val="0"/>
          <w:caps w:val="0"/>
          <w:color w:val="000000"/>
          <w:spacing w:val="0"/>
          <w:sz w:val="32"/>
          <w:szCs w:val="32"/>
          <w:shd w:val="clear" w:fill="FFFFFF"/>
          <w:lang w:val="en-US" w:eastAsia="zh-CN"/>
        </w:rPr>
        <w:t>办学经费支出预算收入194.49万元，实际到位194.49万元，预算资金到位率100%；核增绩效及误餐等预算收入161.49万元，实际到位161.49万元，预算资金到位率100%；社区大学教学专项经费预算收入25万元，实际到位25万元，预算资金到位率100%；“爱晚”老年学校提质改造项目预算收入43万元，实际到位43万元，预算资金到位率100%。</w:t>
      </w:r>
    </w:p>
    <w:p w14:paraId="1F94C084">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kern w:val="2"/>
          <w:sz w:val="32"/>
          <w:szCs w:val="32"/>
          <w:lang w:val="en-US" w:eastAsia="zh-CN" w:bidi="ar-SA"/>
        </w:rPr>
        <w:t>2.</w:t>
      </w:r>
      <w:r>
        <w:rPr>
          <w:rFonts w:hint="eastAsia" w:ascii="仿宋" w:hAnsi="仿宋" w:eastAsia="仿宋" w:cs="仿宋"/>
          <w:b/>
          <w:bCs/>
          <w:color w:val="auto"/>
          <w:sz w:val="32"/>
          <w:szCs w:val="32"/>
          <w:highlight w:val="none"/>
          <w:lang w:val="en-US" w:eastAsia="zh-CN"/>
        </w:rPr>
        <w:t>项目资金（主要指财政资金）实际使用情况分析</w:t>
      </w:r>
    </w:p>
    <w:p w14:paraId="5148045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i w:val="0"/>
          <w:iCs w:val="0"/>
          <w:caps w:val="0"/>
          <w:color w:val="000000"/>
          <w:spacing w:val="0"/>
          <w:sz w:val="32"/>
          <w:szCs w:val="32"/>
          <w:shd w:val="clear" w:fill="FFFFFF"/>
        </w:rPr>
        <w:t>202</w:t>
      </w: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rPr>
        <w:t>年度实际收到</w:t>
      </w:r>
      <w:r>
        <w:rPr>
          <w:rFonts w:hint="eastAsia" w:ascii="仿宋" w:hAnsi="仿宋" w:eastAsia="仿宋" w:cs="仿宋"/>
          <w:i w:val="0"/>
          <w:iCs w:val="0"/>
          <w:caps w:val="0"/>
          <w:color w:val="000000"/>
          <w:spacing w:val="0"/>
          <w:sz w:val="32"/>
          <w:szCs w:val="32"/>
          <w:shd w:val="clear" w:fill="FFFFFF"/>
          <w:lang w:val="en-US" w:eastAsia="zh-CN"/>
        </w:rPr>
        <w:t>项目</w:t>
      </w:r>
      <w:r>
        <w:rPr>
          <w:rFonts w:hint="eastAsia" w:ascii="仿宋" w:hAnsi="仿宋" w:eastAsia="仿宋" w:cs="仿宋"/>
          <w:i w:val="0"/>
          <w:iCs w:val="0"/>
          <w:caps w:val="0"/>
          <w:color w:val="000000"/>
          <w:spacing w:val="0"/>
          <w:sz w:val="32"/>
          <w:szCs w:val="32"/>
          <w:shd w:val="clear" w:fill="FFFFFF"/>
        </w:rPr>
        <w:t>资金</w:t>
      </w:r>
      <w:r>
        <w:rPr>
          <w:rFonts w:hint="eastAsia" w:ascii="仿宋" w:hAnsi="仿宋" w:eastAsia="仿宋" w:cs="仿宋"/>
          <w:i w:val="0"/>
          <w:iCs w:val="0"/>
          <w:caps w:val="0"/>
          <w:color w:val="000000"/>
          <w:spacing w:val="0"/>
          <w:sz w:val="32"/>
          <w:szCs w:val="32"/>
          <w:shd w:val="clear" w:fill="FFFFFF"/>
          <w:lang w:val="en-US" w:eastAsia="zh-CN"/>
        </w:rPr>
        <w:t>623.98</w:t>
      </w:r>
      <w:r>
        <w:rPr>
          <w:rFonts w:hint="eastAsia" w:ascii="仿宋" w:hAnsi="仿宋" w:eastAsia="仿宋" w:cs="仿宋"/>
          <w:i w:val="0"/>
          <w:iCs w:val="0"/>
          <w:caps w:val="0"/>
          <w:color w:val="000000"/>
          <w:spacing w:val="0"/>
          <w:sz w:val="32"/>
          <w:szCs w:val="32"/>
          <w:shd w:val="clear" w:fill="FFFFFF"/>
        </w:rPr>
        <w:t>万元，202</w:t>
      </w: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rPr>
        <w:t>年专项资金实际支出</w:t>
      </w:r>
      <w:r>
        <w:rPr>
          <w:rFonts w:hint="eastAsia" w:ascii="仿宋" w:hAnsi="仿宋" w:eastAsia="仿宋" w:cs="仿宋"/>
          <w:i w:val="0"/>
          <w:iCs w:val="0"/>
          <w:caps w:val="0"/>
          <w:color w:val="000000"/>
          <w:spacing w:val="0"/>
          <w:sz w:val="32"/>
          <w:szCs w:val="32"/>
          <w:shd w:val="clear" w:fill="FFFFFF"/>
          <w:lang w:val="en-US" w:eastAsia="zh-CN"/>
        </w:rPr>
        <w:t>623.98</w:t>
      </w:r>
      <w:r>
        <w:rPr>
          <w:rFonts w:hint="eastAsia" w:ascii="仿宋" w:hAnsi="仿宋" w:eastAsia="仿宋" w:cs="仿宋"/>
          <w:i w:val="0"/>
          <w:iCs w:val="0"/>
          <w:caps w:val="0"/>
          <w:color w:val="000000"/>
          <w:spacing w:val="0"/>
          <w:sz w:val="32"/>
          <w:szCs w:val="32"/>
          <w:shd w:val="clear" w:fill="FFFFFF"/>
        </w:rPr>
        <w:t>万元，预算执行率100%。</w:t>
      </w:r>
      <w:r>
        <w:rPr>
          <w:rFonts w:hint="eastAsia" w:ascii="仿宋" w:hAnsi="仿宋" w:eastAsia="仿宋" w:cs="仿宋"/>
          <w:i w:val="0"/>
          <w:iCs w:val="0"/>
          <w:caps w:val="0"/>
          <w:color w:val="000000"/>
          <w:spacing w:val="0"/>
          <w:sz w:val="32"/>
          <w:szCs w:val="32"/>
          <w:shd w:val="clear" w:fill="FFFFFF"/>
          <w:lang w:val="en-US" w:eastAsia="zh-CN"/>
        </w:rPr>
        <w:t>其中：</w:t>
      </w:r>
      <w:r>
        <w:rPr>
          <w:rFonts w:hint="eastAsia" w:ascii="仿宋" w:hAnsi="仿宋" w:eastAsia="仿宋" w:cs="仿宋"/>
          <w:i w:val="0"/>
          <w:iCs w:val="0"/>
          <w:caps w:val="0"/>
          <w:color w:val="auto"/>
          <w:spacing w:val="0"/>
          <w:sz w:val="32"/>
          <w:szCs w:val="32"/>
          <w:highlight w:val="none"/>
          <w:vertAlign w:val="baseline"/>
        </w:rPr>
        <w:t>收到财政项目专项资金拨款收入</w:t>
      </w:r>
      <w:r>
        <w:rPr>
          <w:rFonts w:hint="eastAsia" w:ascii="仿宋" w:hAnsi="仿宋" w:eastAsia="仿宋" w:cs="仿宋"/>
          <w:i w:val="0"/>
          <w:iCs w:val="0"/>
          <w:caps w:val="0"/>
          <w:color w:val="auto"/>
          <w:spacing w:val="0"/>
          <w:sz w:val="32"/>
          <w:szCs w:val="32"/>
          <w:highlight w:val="none"/>
          <w:vertAlign w:val="baseline"/>
          <w:lang w:val="en-US" w:eastAsia="zh-CN"/>
        </w:rPr>
        <w:t>68</w:t>
      </w:r>
      <w:r>
        <w:rPr>
          <w:rFonts w:hint="eastAsia" w:ascii="仿宋" w:hAnsi="仿宋" w:eastAsia="仿宋" w:cs="仿宋"/>
          <w:i w:val="0"/>
          <w:iCs w:val="0"/>
          <w:caps w:val="0"/>
          <w:color w:val="auto"/>
          <w:spacing w:val="0"/>
          <w:sz w:val="32"/>
          <w:szCs w:val="32"/>
          <w:highlight w:val="none"/>
          <w:vertAlign w:val="baseline"/>
        </w:rPr>
        <w:t>万元</w:t>
      </w:r>
      <w:r>
        <w:rPr>
          <w:rFonts w:hint="eastAsia" w:ascii="仿宋" w:hAnsi="仿宋" w:eastAsia="仿宋" w:cs="仿宋"/>
          <w:i w:val="0"/>
          <w:iCs w:val="0"/>
          <w:caps w:val="0"/>
          <w:color w:val="auto"/>
          <w:spacing w:val="0"/>
          <w:sz w:val="32"/>
          <w:szCs w:val="32"/>
          <w:highlight w:val="none"/>
          <w:vertAlign w:val="baseline"/>
          <w:lang w:eastAsia="zh-CN"/>
        </w:rPr>
        <w:t>（</w:t>
      </w:r>
      <w:r>
        <w:rPr>
          <w:rFonts w:hint="eastAsia" w:ascii="仿宋" w:hAnsi="仿宋" w:eastAsia="仿宋" w:cs="仿宋"/>
          <w:i w:val="0"/>
          <w:iCs w:val="0"/>
          <w:caps w:val="0"/>
          <w:color w:val="auto"/>
          <w:spacing w:val="0"/>
          <w:sz w:val="32"/>
          <w:szCs w:val="32"/>
          <w:highlight w:val="none"/>
          <w:vertAlign w:val="baseline"/>
          <w:lang w:val="en-US" w:eastAsia="zh-CN"/>
        </w:rPr>
        <w:t>分别是社区大学教学专项25万元，“爱晚”老年学校提质改造资金43万元</w:t>
      </w:r>
      <w:r>
        <w:rPr>
          <w:rFonts w:hint="eastAsia" w:ascii="仿宋" w:hAnsi="仿宋" w:eastAsia="仿宋" w:cs="仿宋"/>
          <w:i w:val="0"/>
          <w:iCs w:val="0"/>
          <w:caps w:val="0"/>
          <w:color w:val="auto"/>
          <w:spacing w:val="0"/>
          <w:sz w:val="32"/>
          <w:szCs w:val="32"/>
          <w:highlight w:val="none"/>
          <w:vertAlign w:val="baseline"/>
          <w:lang w:eastAsia="zh-CN"/>
        </w:rPr>
        <w:t>），</w:t>
      </w:r>
      <w:r>
        <w:rPr>
          <w:rFonts w:hint="eastAsia" w:ascii="仿宋" w:hAnsi="仿宋" w:eastAsia="仿宋" w:cs="仿宋"/>
          <w:i w:val="0"/>
          <w:iCs w:val="0"/>
          <w:caps w:val="0"/>
          <w:color w:val="auto"/>
          <w:spacing w:val="0"/>
          <w:sz w:val="32"/>
          <w:szCs w:val="32"/>
          <w:highlight w:val="none"/>
          <w:vertAlign w:val="baseline"/>
        </w:rPr>
        <w:t>共计支出</w:t>
      </w:r>
      <w:r>
        <w:rPr>
          <w:rFonts w:hint="eastAsia" w:ascii="仿宋" w:hAnsi="仿宋" w:eastAsia="仿宋" w:cs="仿宋"/>
          <w:i w:val="0"/>
          <w:iCs w:val="0"/>
          <w:caps w:val="0"/>
          <w:color w:val="auto"/>
          <w:spacing w:val="0"/>
          <w:sz w:val="32"/>
          <w:szCs w:val="32"/>
          <w:highlight w:val="none"/>
          <w:vertAlign w:val="baseline"/>
          <w:lang w:val="en-US" w:eastAsia="zh-CN"/>
        </w:rPr>
        <w:t>68</w:t>
      </w:r>
      <w:r>
        <w:rPr>
          <w:rFonts w:hint="eastAsia" w:ascii="仿宋" w:hAnsi="仿宋" w:eastAsia="仿宋" w:cs="仿宋"/>
          <w:i w:val="0"/>
          <w:iCs w:val="0"/>
          <w:caps w:val="0"/>
          <w:color w:val="auto"/>
          <w:spacing w:val="0"/>
          <w:sz w:val="32"/>
          <w:szCs w:val="32"/>
          <w:highlight w:val="none"/>
          <w:vertAlign w:val="baseline"/>
        </w:rPr>
        <w:t>万元，</w:t>
      </w:r>
      <w:r>
        <w:rPr>
          <w:rFonts w:hint="eastAsia" w:ascii="仿宋" w:hAnsi="仿宋" w:eastAsia="仿宋" w:cs="仿宋"/>
          <w:i w:val="0"/>
          <w:iCs w:val="0"/>
          <w:caps w:val="0"/>
          <w:color w:val="auto"/>
          <w:spacing w:val="0"/>
          <w:sz w:val="32"/>
          <w:szCs w:val="32"/>
          <w:highlight w:val="none"/>
          <w:vertAlign w:val="baseline"/>
          <w:lang w:val="en-US" w:eastAsia="zh-CN"/>
        </w:rPr>
        <w:t>社区大学教学专项25万元</w:t>
      </w:r>
      <w:r>
        <w:rPr>
          <w:rFonts w:hint="eastAsia" w:ascii="仿宋" w:hAnsi="仿宋" w:eastAsia="仿宋" w:cs="仿宋"/>
          <w:i w:val="0"/>
          <w:iCs w:val="0"/>
          <w:caps w:val="0"/>
          <w:color w:val="auto"/>
          <w:spacing w:val="0"/>
          <w:sz w:val="32"/>
          <w:szCs w:val="32"/>
          <w:highlight w:val="none"/>
          <w:vertAlign w:val="baseline"/>
          <w:lang w:eastAsia="zh-CN"/>
        </w:rPr>
        <w:t>、“</w:t>
      </w:r>
      <w:r>
        <w:rPr>
          <w:rFonts w:hint="eastAsia" w:ascii="仿宋" w:hAnsi="仿宋" w:eastAsia="仿宋" w:cs="仿宋"/>
          <w:i w:val="0"/>
          <w:iCs w:val="0"/>
          <w:caps w:val="0"/>
          <w:color w:val="auto"/>
          <w:spacing w:val="0"/>
          <w:sz w:val="32"/>
          <w:szCs w:val="32"/>
          <w:highlight w:val="none"/>
          <w:vertAlign w:val="baseline"/>
          <w:lang w:val="en-US" w:eastAsia="zh-CN"/>
        </w:rPr>
        <w:t>爱晚”老年学校提质改造项目43万元</w:t>
      </w:r>
      <w:r>
        <w:rPr>
          <w:rFonts w:hint="eastAsia" w:ascii="仿宋" w:hAnsi="仿宋" w:eastAsia="仿宋" w:cs="仿宋"/>
          <w:i w:val="0"/>
          <w:iCs w:val="0"/>
          <w:caps w:val="0"/>
          <w:color w:val="auto"/>
          <w:spacing w:val="0"/>
          <w:sz w:val="32"/>
          <w:szCs w:val="32"/>
          <w:highlight w:val="none"/>
          <w:vertAlign w:val="baseline"/>
        </w:rPr>
        <w:t>。</w:t>
      </w:r>
    </w:p>
    <w:p w14:paraId="394A57D1">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kern w:val="2"/>
          <w:sz w:val="32"/>
          <w:szCs w:val="32"/>
          <w:lang w:val="en-US" w:eastAsia="zh-CN" w:bidi="ar-SA"/>
        </w:rPr>
        <w:t>3.</w:t>
      </w:r>
      <w:r>
        <w:rPr>
          <w:rFonts w:hint="eastAsia" w:ascii="仿宋" w:hAnsi="仿宋" w:eastAsia="仿宋" w:cs="仿宋"/>
          <w:b/>
          <w:bCs/>
          <w:color w:val="auto"/>
          <w:sz w:val="32"/>
          <w:szCs w:val="32"/>
          <w:highlight w:val="none"/>
          <w:lang w:val="en-US" w:eastAsia="zh-CN"/>
        </w:rPr>
        <w:t>项目资金管理情况分析</w:t>
      </w:r>
    </w:p>
    <w:p w14:paraId="1E48CDDB">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i w:val="0"/>
          <w:iCs w:val="0"/>
          <w:caps w:val="0"/>
          <w:color w:val="auto"/>
          <w:spacing w:val="0"/>
          <w:sz w:val="32"/>
          <w:szCs w:val="32"/>
          <w:highlight w:val="none"/>
          <w:vertAlign w:val="baseline"/>
        </w:rPr>
        <w:t>学校对于专项资金的使用和管理严格按上级专项资金相关规定执行，坚持“专人负责，专款专用，严</w:t>
      </w:r>
      <w:r>
        <w:rPr>
          <w:rFonts w:hint="eastAsia" w:ascii="仿宋" w:hAnsi="仿宋" w:eastAsia="仿宋" w:cs="仿宋"/>
          <w:i w:val="0"/>
          <w:iCs w:val="0"/>
          <w:caps w:val="0"/>
          <w:color w:val="auto"/>
          <w:spacing w:val="0"/>
          <w:sz w:val="32"/>
          <w:szCs w:val="32"/>
          <w:highlight w:val="none"/>
          <w:vertAlign w:val="baseline"/>
          <w:lang w:val="en-US" w:eastAsia="zh-CN"/>
        </w:rPr>
        <w:t>格</w:t>
      </w:r>
      <w:r>
        <w:rPr>
          <w:rFonts w:hint="eastAsia" w:ascii="仿宋" w:hAnsi="仿宋" w:eastAsia="仿宋" w:cs="仿宋"/>
          <w:i w:val="0"/>
          <w:iCs w:val="0"/>
          <w:caps w:val="0"/>
          <w:color w:val="auto"/>
          <w:spacing w:val="0"/>
          <w:sz w:val="32"/>
          <w:szCs w:val="32"/>
          <w:highlight w:val="none"/>
          <w:vertAlign w:val="baseline"/>
        </w:rPr>
        <w:t>把关”的原则，由学校纪检监察室参与项目的全程监督。</w:t>
      </w:r>
    </w:p>
    <w:p w14:paraId="47AF94BA">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三、项目组织实施情况</w:t>
      </w:r>
    </w:p>
    <w:p w14:paraId="7096748C">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（一）项目组织情况分析</w:t>
      </w:r>
    </w:p>
    <w:p w14:paraId="500D8E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baseline"/>
        <w:rPr>
          <w:rFonts w:hint="eastAsia" w:ascii="仿宋" w:hAnsi="仿宋" w:eastAsia="仿宋" w:cs="仿宋"/>
          <w:i w:val="0"/>
          <w:iCs w:val="0"/>
          <w:caps w:val="0"/>
          <w:color w:val="auto"/>
          <w:spacing w:val="0"/>
          <w:kern w:val="2"/>
          <w:sz w:val="32"/>
          <w:szCs w:val="32"/>
          <w:highlight w:val="none"/>
          <w:vertAlign w:val="baseline"/>
          <w:lang w:val="en-US" w:eastAsia="zh-CN" w:bidi="ar-SA"/>
        </w:rPr>
      </w:pPr>
      <w:r>
        <w:rPr>
          <w:rFonts w:hint="eastAsia" w:ascii="仿宋" w:hAnsi="仿宋" w:eastAsia="仿宋" w:cs="仿宋"/>
          <w:i w:val="0"/>
          <w:iCs w:val="0"/>
          <w:caps w:val="0"/>
          <w:color w:val="auto"/>
          <w:spacing w:val="0"/>
          <w:kern w:val="2"/>
          <w:sz w:val="32"/>
          <w:szCs w:val="32"/>
          <w:highlight w:val="none"/>
          <w:vertAlign w:val="baseline"/>
          <w:lang w:val="en-US" w:eastAsia="zh-CN" w:bidi="ar-SA"/>
        </w:rPr>
        <w:t>针对不同的项目内容，将工作任务细化到各部门及个人，对所有项目严格按照程序进行。在市财政局、教育局和学校纪检监察室的监督下，由学校总务科负责各个项目的具体操作，整个操作流程均按财政部门的要求合理合法开展。</w:t>
      </w:r>
    </w:p>
    <w:p w14:paraId="4E7AEDC3">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 w:hAnsi="仿宋" w:eastAsia="仿宋" w:cs="仿宋"/>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（二）项目管理情况分析</w:t>
      </w:r>
    </w:p>
    <w:p w14:paraId="094759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i w:val="0"/>
          <w:iCs w:val="0"/>
          <w:caps w:val="0"/>
          <w:color w:val="auto"/>
          <w:spacing w:val="0"/>
          <w:sz w:val="32"/>
          <w:szCs w:val="32"/>
          <w:vertAlign w:val="baseline"/>
        </w:rPr>
        <w:t>一是加强领导责任意识，落实管理责任；二是加强资金管理制度建设，确保机构健全、分工明确；三是加强资金支出管理，严格支出标准和范围，确保专款专用，无截留、挤占或挪用；四是严格按照学校内部控制制度进行项目管理。</w:t>
      </w:r>
    </w:p>
    <w:p w14:paraId="6681E124">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四、资产管理情况</w:t>
      </w:r>
    </w:p>
    <w:p w14:paraId="657C07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3" w:firstLineChars="200"/>
        <w:jc w:val="both"/>
        <w:textAlignment w:val="baseline"/>
        <w:rPr>
          <w:rFonts w:hint="eastAsia" w:ascii="仿宋" w:hAnsi="仿宋" w:eastAsia="仿宋" w:cs="仿宋"/>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（一）资产管理制度：</w:t>
      </w:r>
      <w:r>
        <w:rPr>
          <w:rFonts w:hint="eastAsia" w:ascii="仿宋" w:hAnsi="仿宋" w:eastAsia="仿宋" w:cs="仿宋"/>
          <w:color w:val="auto"/>
          <w:kern w:val="2"/>
          <w:sz w:val="32"/>
          <w:szCs w:val="32"/>
          <w:highlight w:val="none"/>
          <w:lang w:val="en-US" w:eastAsia="zh-CN" w:bidi="ar-SA"/>
        </w:rPr>
        <w:t>制定了《怀化开放大学固定资产管理制度》。</w:t>
      </w:r>
    </w:p>
    <w:p w14:paraId="476FF5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3" w:firstLineChars="200"/>
        <w:jc w:val="both"/>
        <w:textAlignment w:val="baseline"/>
        <w:rPr>
          <w:rFonts w:hint="eastAsia" w:ascii="仿宋" w:hAnsi="仿宋" w:eastAsia="仿宋" w:cs="仿宋"/>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（二）资产配置：</w:t>
      </w:r>
      <w:r>
        <w:rPr>
          <w:rFonts w:hint="eastAsia" w:ascii="仿宋" w:hAnsi="仿宋" w:eastAsia="仿宋" w:cs="仿宋"/>
          <w:color w:val="auto"/>
          <w:kern w:val="2"/>
          <w:sz w:val="32"/>
          <w:szCs w:val="32"/>
          <w:highlight w:val="none"/>
          <w:lang w:val="en-US" w:eastAsia="zh-CN" w:bidi="ar-SA"/>
        </w:rPr>
        <w:t>各科室如需购置资产首先应提出申请报告，经分管领导、校长签字后，实行事前审批。金额在10000元（含10000元）以上的非日常性物资及服务采购（含维修、广告、印刷等），实行三方（业务科室、总务科和纪检监察室）共同参与询价，总务科按政府采购程序购买，财务部门根据《怀化市直行政事业单位固定资产增减变化情况表》增加固定资产。</w:t>
      </w:r>
    </w:p>
    <w:p w14:paraId="0D7820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3" w:firstLineChars="200"/>
        <w:jc w:val="both"/>
        <w:textAlignment w:val="baseline"/>
        <w:rPr>
          <w:rFonts w:hint="eastAsia" w:ascii="仿宋" w:hAnsi="仿宋" w:eastAsia="仿宋" w:cs="仿宋"/>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（三）资产管理：</w:t>
      </w:r>
      <w:r>
        <w:rPr>
          <w:rFonts w:hint="eastAsia" w:ascii="仿宋" w:hAnsi="仿宋" w:eastAsia="仿宋" w:cs="仿宋"/>
          <w:color w:val="auto"/>
          <w:kern w:val="2"/>
          <w:sz w:val="32"/>
          <w:szCs w:val="32"/>
          <w:highlight w:val="none"/>
          <w:lang w:val="en-US" w:eastAsia="zh-CN" w:bidi="ar-SA"/>
        </w:rPr>
        <w:t>按照市财政局和相关部门的要求，定期做好固定资产录入和国有资产清查工作，做到账账相符、账实相符，固定资产的使用保管部门要设置保管账，财务部门要建立固定资产明细账，并建立实物管理部门和个人负责制。</w:t>
      </w:r>
    </w:p>
    <w:p w14:paraId="136CE1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3" w:firstLineChars="200"/>
        <w:jc w:val="both"/>
        <w:textAlignment w:val="baseline"/>
        <w:rPr>
          <w:rFonts w:hint="eastAsia" w:ascii="仿宋" w:hAnsi="仿宋" w:eastAsia="仿宋" w:cs="仿宋"/>
          <w:i w:val="0"/>
          <w:iCs w:val="0"/>
          <w:caps w:val="0"/>
          <w:color w:val="444444"/>
          <w:spacing w:val="0"/>
          <w:sz w:val="32"/>
          <w:szCs w:val="32"/>
        </w:rPr>
      </w:pPr>
      <w:r>
        <w:rPr>
          <w:rFonts w:hint="eastAsia" w:ascii="楷体" w:hAnsi="楷体" w:eastAsia="楷体" w:cs="楷体"/>
          <w:b/>
          <w:bCs/>
          <w:color w:val="auto"/>
          <w:kern w:val="2"/>
          <w:sz w:val="32"/>
          <w:szCs w:val="32"/>
          <w:highlight w:val="none"/>
          <w:lang w:val="en-US" w:eastAsia="zh-CN" w:bidi="ar-SA"/>
        </w:rPr>
        <w:t>（四）资产处置：</w:t>
      </w:r>
      <w:r>
        <w:rPr>
          <w:rFonts w:hint="eastAsia" w:ascii="仿宋" w:hAnsi="仿宋" w:eastAsia="仿宋" w:cs="仿宋"/>
          <w:color w:val="auto"/>
          <w:kern w:val="2"/>
          <w:sz w:val="32"/>
          <w:szCs w:val="32"/>
          <w:highlight w:val="none"/>
          <w:lang w:val="en-US" w:eastAsia="zh-CN" w:bidi="ar-SA"/>
        </w:rPr>
        <w:t>对达到报废年限且无使用价值或修复成本大于使用价值的资产，由总务科提出申请，经校党委会讨论研究，确实符合资产报废条件的，由财务部门根据程序进行资产处置，处置残值上缴财政资产管理专户。</w:t>
      </w:r>
    </w:p>
    <w:p w14:paraId="7C2AACF1">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五、政府性基金预算支出情况</w:t>
      </w:r>
    </w:p>
    <w:p w14:paraId="14E7C34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2024年度政府性基金预算支出802.5元，为2023年结转资金，全部用于补充学校社区教育工作经费。</w:t>
      </w:r>
    </w:p>
    <w:p w14:paraId="3488626E">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六、国有资本经营预算支出情况</w:t>
      </w:r>
    </w:p>
    <w:p w14:paraId="4CC7A49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2024年我校无国有资本经营预算支出。</w:t>
      </w:r>
    </w:p>
    <w:p w14:paraId="3844A895">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kern w:val="2"/>
          <w:sz w:val="32"/>
          <w:szCs w:val="32"/>
          <w:lang w:val="en-US" w:eastAsia="zh-CN" w:bidi="ar-SA"/>
        </w:rPr>
        <w:t>七、</w:t>
      </w:r>
      <w:r>
        <w:rPr>
          <w:rFonts w:hint="eastAsia" w:ascii="黑体" w:hAnsi="黑体" w:eastAsia="黑体" w:cs="黑体"/>
          <w:b/>
          <w:bCs/>
          <w:color w:val="auto"/>
          <w:sz w:val="32"/>
          <w:szCs w:val="32"/>
          <w:highlight w:val="none"/>
          <w:lang w:val="en-US" w:eastAsia="zh-CN"/>
        </w:rPr>
        <w:t>社会保险基金预算支出情况</w:t>
      </w:r>
    </w:p>
    <w:p w14:paraId="0C15B63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2024年我校无社会保险基金预算支出。</w:t>
      </w:r>
    </w:p>
    <w:p w14:paraId="387ACBF7">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八、部门整体支出绩效情况</w:t>
      </w:r>
    </w:p>
    <w:p w14:paraId="0244016E">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3" w:firstLineChars="200"/>
        <w:jc w:val="both"/>
        <w:rPr>
          <w:rFonts w:hint="eastAsia" w:ascii="楷体" w:hAnsi="楷体" w:eastAsia="楷体" w:cs="楷体"/>
          <w:b/>
          <w:color w:val="000000"/>
          <w:sz w:val="32"/>
          <w:szCs w:val="32"/>
          <w:shd w:val="clear" w:color="auto" w:fill="FFFFFF"/>
          <w:lang w:bidi="ar"/>
        </w:rPr>
      </w:pPr>
      <w:r>
        <w:rPr>
          <w:rFonts w:hint="eastAsia" w:ascii="楷体" w:hAnsi="楷体" w:eastAsia="楷体" w:cs="楷体"/>
          <w:b/>
          <w:color w:val="000000" w:themeColor="text1"/>
          <w:sz w:val="32"/>
          <w:szCs w:val="32"/>
          <w:shd w:val="clear" w:color="auto" w:fill="FFFFFF"/>
          <w14:textFill>
            <w14:solidFill>
              <w14:schemeClr w14:val="tx1"/>
            </w14:solidFill>
          </w14:textFill>
        </w:rPr>
        <w:t>（一）综合评价结论</w:t>
      </w:r>
    </w:p>
    <w:p w14:paraId="66A23839">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jc w:val="both"/>
        <w:rPr>
          <w:rFonts w:hint="eastAsia" w:ascii="仿宋" w:hAnsi="仿宋" w:eastAsia="仿宋" w:cs="仿宋"/>
          <w:bCs/>
          <w:sz w:val="32"/>
          <w:szCs w:val="32"/>
        </w:rPr>
      </w:pPr>
      <w:r>
        <w:rPr>
          <w:rFonts w:hint="eastAsia" w:ascii="仿宋" w:hAnsi="仿宋" w:eastAsia="仿宋" w:cs="仿宋"/>
          <w:bCs/>
          <w:sz w:val="32"/>
          <w:szCs w:val="32"/>
        </w:rPr>
        <w:t>怀化开放大学在202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年度部门整体支出绩效自评中，经过对预算配置、预算执行、教育教学成果、机构设置与人员配置等多个维度的严格自评，学校自评得分为</w:t>
      </w:r>
      <w:r>
        <w:rPr>
          <w:rFonts w:hint="eastAsia" w:ascii="仿宋" w:hAnsi="仿宋" w:eastAsia="仿宋" w:cs="仿宋"/>
          <w:bCs/>
          <w:sz w:val="32"/>
          <w:szCs w:val="32"/>
          <w:highlight w:val="none"/>
        </w:rPr>
        <w:t>优良</w:t>
      </w:r>
      <w:r>
        <w:rPr>
          <w:rFonts w:hint="eastAsia" w:ascii="仿宋" w:hAnsi="仿宋" w:eastAsia="仿宋" w:cs="仿宋"/>
          <w:bCs/>
          <w:sz w:val="32"/>
          <w:szCs w:val="32"/>
        </w:rPr>
        <w:t>等级。</w:t>
      </w:r>
    </w:p>
    <w:p w14:paraId="26FBC5C9">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3" w:firstLineChars="200"/>
        <w:jc w:val="both"/>
        <w:rPr>
          <w:rFonts w:hint="eastAsia" w:ascii="楷体" w:hAnsi="楷体" w:eastAsia="楷体" w:cs="楷体"/>
          <w:bCs/>
          <w:sz w:val="32"/>
          <w:szCs w:val="32"/>
        </w:rPr>
      </w:pPr>
      <w:r>
        <w:rPr>
          <w:rFonts w:hint="eastAsia" w:ascii="楷体" w:hAnsi="楷体" w:eastAsia="楷体" w:cs="楷体"/>
          <w:b/>
          <w:color w:val="000000"/>
          <w:sz w:val="32"/>
          <w:szCs w:val="32"/>
          <w:shd w:val="clear" w:color="auto" w:fill="FFFFFF"/>
        </w:rPr>
        <w:t>（二）评价指标分析（或综合评价情况）</w:t>
      </w:r>
    </w:p>
    <w:p w14:paraId="4A856A1D">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jc w:val="both"/>
        <w:rPr>
          <w:rFonts w:hint="eastAsia" w:ascii="仿宋" w:hAnsi="仿宋" w:eastAsia="仿宋" w:cs="仿宋"/>
          <w:bCs/>
          <w:sz w:val="32"/>
          <w:szCs w:val="32"/>
        </w:rPr>
      </w:pPr>
      <w:r>
        <w:rPr>
          <w:rFonts w:hint="eastAsia" w:ascii="仿宋" w:hAnsi="仿宋" w:eastAsia="仿宋" w:cs="仿宋"/>
          <w:bCs/>
          <w:sz w:val="32"/>
          <w:szCs w:val="32"/>
        </w:rPr>
        <w:t>怀化开放大学在“四本预算”支出绩效目标完成方面取得了</w:t>
      </w:r>
      <w:r>
        <w:rPr>
          <w:rFonts w:hint="eastAsia" w:ascii="仿宋" w:hAnsi="仿宋" w:eastAsia="仿宋" w:cs="仿宋"/>
          <w:bCs/>
          <w:sz w:val="32"/>
          <w:szCs w:val="32"/>
          <w:lang w:val="en-US" w:eastAsia="zh-CN"/>
        </w:rPr>
        <w:t>一定</w:t>
      </w:r>
      <w:r>
        <w:rPr>
          <w:rFonts w:hint="eastAsia" w:ascii="仿宋" w:hAnsi="仿宋" w:eastAsia="仿宋" w:cs="仿宋"/>
          <w:bCs/>
          <w:sz w:val="32"/>
          <w:szCs w:val="32"/>
        </w:rPr>
        <w:t>成效，基本实现了产出和取得效益的预期目标。为进一步提升预算资金的使用效益和管理水平，学校继续加强预算管理和资产管理工作，优化资源配置结构；同时加强与社会各界的合作与交流，拓展服务领域和服务对象；此外</w:t>
      </w:r>
      <w:r>
        <w:rPr>
          <w:rFonts w:hint="eastAsia" w:ascii="仿宋" w:hAnsi="仿宋" w:eastAsia="仿宋" w:cs="仿宋"/>
          <w:bCs/>
          <w:sz w:val="32"/>
          <w:szCs w:val="32"/>
          <w:lang w:eastAsia="zh-CN"/>
        </w:rPr>
        <w:t>，</w:t>
      </w:r>
      <w:r>
        <w:rPr>
          <w:rFonts w:hint="eastAsia" w:ascii="仿宋" w:hAnsi="仿宋" w:eastAsia="仿宋" w:cs="仿宋"/>
          <w:bCs/>
          <w:sz w:val="32"/>
          <w:szCs w:val="32"/>
        </w:rPr>
        <w:t>还需关注教职工队伍建设和发展问题，提高教职工的工作积极性和创新能力。</w:t>
      </w:r>
    </w:p>
    <w:p w14:paraId="243CB046">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3" w:firstLineChars="200"/>
        <w:jc w:val="both"/>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1.绩效目标设定与完成情况</w:t>
      </w:r>
    </w:p>
    <w:p w14:paraId="47EBE75B">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jc w:val="both"/>
        <w:rPr>
          <w:rFonts w:hint="eastAsia" w:ascii="仿宋" w:hAnsi="仿宋" w:eastAsia="仿宋" w:cs="仿宋"/>
          <w:bCs/>
          <w:sz w:val="32"/>
          <w:szCs w:val="32"/>
        </w:rPr>
      </w:pPr>
      <w:r>
        <w:rPr>
          <w:rFonts w:hint="eastAsia" w:ascii="仿宋" w:hAnsi="仿宋" w:eastAsia="仿宋" w:cs="仿宋"/>
          <w:bCs/>
          <w:sz w:val="32"/>
          <w:szCs w:val="32"/>
        </w:rPr>
        <w:t>根据学校的发展战略和行业发展规划，我校制定了具体的绩效目标，并将这些目标细化为各项预算支出指标。通过对比实际完成情况与绩效目标，</w:t>
      </w:r>
      <w:r>
        <w:rPr>
          <w:rFonts w:hint="eastAsia" w:ascii="仿宋" w:hAnsi="仿宋" w:eastAsia="仿宋" w:cs="仿宋"/>
          <w:bCs/>
          <w:sz w:val="32"/>
          <w:szCs w:val="32"/>
          <w:lang w:val="en-US" w:eastAsia="zh-CN"/>
        </w:rPr>
        <w:t>主要取得如下</w:t>
      </w:r>
      <w:r>
        <w:rPr>
          <w:rFonts w:hint="eastAsia" w:ascii="仿宋" w:hAnsi="仿宋" w:eastAsia="仿宋" w:cs="仿宋"/>
          <w:bCs/>
          <w:sz w:val="32"/>
          <w:szCs w:val="32"/>
        </w:rPr>
        <w:t>成效：</w:t>
      </w:r>
    </w:p>
    <w:p w14:paraId="7C0BD50A">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jc w:val="both"/>
        <w:rPr>
          <w:rFonts w:hint="eastAsia" w:ascii="仿宋" w:hAnsi="仿宋" w:eastAsia="仿宋" w:cs="仿宋"/>
          <w:bCs/>
          <w:sz w:val="32"/>
          <w:szCs w:val="32"/>
        </w:rPr>
      </w:pPr>
      <w:r>
        <w:rPr>
          <w:rFonts w:hint="eastAsia" w:ascii="仿宋" w:hAnsi="仿宋" w:eastAsia="仿宋" w:cs="仿宋"/>
          <w:bCs/>
          <w:sz w:val="32"/>
          <w:szCs w:val="32"/>
        </w:rPr>
        <w:t>①学生培养成效显著</w:t>
      </w:r>
      <w:r>
        <w:rPr>
          <w:rFonts w:hint="eastAsia" w:ascii="仿宋" w:hAnsi="仿宋" w:eastAsia="仿宋" w:cs="仿宋"/>
          <w:bCs/>
          <w:sz w:val="32"/>
          <w:szCs w:val="32"/>
          <w:lang w:eastAsia="zh-CN"/>
        </w:rPr>
        <w:t>。</w:t>
      </w:r>
      <w:r>
        <w:rPr>
          <w:rFonts w:hint="eastAsia" w:ascii="仿宋" w:hAnsi="仿宋" w:eastAsia="仿宋" w:cs="仿宋"/>
          <w:bCs/>
          <w:sz w:val="32"/>
          <w:szCs w:val="32"/>
        </w:rPr>
        <w:t>一是招生质量平稳提升。2024年，我校全年完成招生人数1574人，其中开放教育1365人（含开放农大生282人）、全日制农民大学生培养计划105人、省校成人高考72人、中专32人，同比增长13.16%。二是教育教学特色彰显。2024年，学校成立文法、思政、经管、理工等四支专业教学团队，整合教学资源，提高教学质量，竞赛成果显著，全年共计获得优秀组织奖2次，各类奖项28个，其中国家开放大学奖项4个，湖南开放大学一等奖8个。三是教务管理有序规范。规范学籍管理，提升工作效率与质量。全年完成课程注册48037科次；完成了2315名毕业生的毕业申请工作；处理学籍异动41人；圆满完成2023年秋季期末考试组考工作、2024年春季学期组考工作等；完成了学生教材征订发放工作。2024年11月成功承办国开学籍管理配套制度交流研讨活动，全国各地开放大学的40余位专家齐聚怀化参与交流</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同时，</w:t>
      </w:r>
      <w:r>
        <w:rPr>
          <w:rFonts w:hint="eastAsia" w:ascii="仿宋" w:hAnsi="仿宋" w:eastAsia="仿宋" w:cs="仿宋"/>
          <w:bCs/>
          <w:sz w:val="32"/>
          <w:szCs w:val="32"/>
        </w:rPr>
        <w:t>优化考试安排，打造灵活的考试体验</w:t>
      </w:r>
      <w:r>
        <w:rPr>
          <w:rFonts w:hint="eastAsia" w:ascii="仿宋" w:hAnsi="仿宋" w:eastAsia="仿宋" w:cs="仿宋"/>
          <w:bCs/>
          <w:sz w:val="32"/>
          <w:szCs w:val="32"/>
          <w:lang w:eastAsia="zh-CN"/>
        </w:rPr>
        <w:t>，</w:t>
      </w:r>
      <w:r>
        <w:rPr>
          <w:rFonts w:hint="eastAsia" w:ascii="仿宋" w:hAnsi="仿宋" w:eastAsia="仿宋" w:cs="仿宋"/>
          <w:bCs/>
          <w:sz w:val="32"/>
          <w:szCs w:val="32"/>
        </w:rPr>
        <w:t xml:space="preserve">精细教材管理，实现资源高效利用。四是学生管理工作亮点突出。坚持立德树人，上好开学“第一课”。严格落实“三全育人”工作机制，将思政元素融入开学典礼、集中面授等教学环节，创新“开学第一课”品牌活动，强化理想信念教育。 </w:t>
      </w:r>
    </w:p>
    <w:p w14:paraId="2553AD13">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jc w:val="both"/>
        <w:rPr>
          <w:rFonts w:hint="eastAsia" w:ascii="仿宋" w:hAnsi="仿宋" w:eastAsia="仿宋" w:cs="仿宋"/>
          <w:bCs/>
          <w:sz w:val="32"/>
          <w:szCs w:val="32"/>
        </w:rPr>
      </w:pPr>
      <w:r>
        <w:rPr>
          <w:rFonts w:hint="eastAsia" w:ascii="仿宋" w:hAnsi="仿宋" w:eastAsia="仿宋" w:cs="仿宋"/>
          <w:bCs/>
          <w:sz w:val="32"/>
          <w:szCs w:val="32"/>
        </w:rPr>
        <w:t>②科研工作成果突出</w:t>
      </w:r>
      <w:r>
        <w:rPr>
          <w:rFonts w:hint="eastAsia" w:ascii="仿宋" w:hAnsi="仿宋" w:eastAsia="仿宋" w:cs="仿宋"/>
          <w:bCs/>
          <w:sz w:val="32"/>
          <w:szCs w:val="32"/>
          <w:lang w:eastAsia="zh-CN"/>
        </w:rPr>
        <w:t>。</w:t>
      </w:r>
      <w:r>
        <w:rPr>
          <w:rFonts w:hint="eastAsia" w:ascii="仿宋" w:hAnsi="仿宋" w:eastAsia="仿宋" w:cs="仿宋"/>
          <w:bCs/>
          <w:sz w:val="32"/>
          <w:szCs w:val="32"/>
        </w:rPr>
        <w:t>一是著作论文成果丰硕。出版了专著《电力设备电气自动化控制技术研究》1部，撰写了3篇《湖南乡村振兴蓝皮书》报告（社会科学文献出版社）、在《当代教育理论与实践》《湖南智库成果专报》《湖南开放大学学报》《南方农机》以及《中国管理信息化》等学术刊物上发表7篇高质量论文，内容涉及乡村振兴、农民大学生培养计划、教育培训革新、社区教育资源整合及电气自动化控制技术及等多个方面。二是课题立项再获突破。2024年学校共成功立项18项科研课题，其中成功申报湖南省教育教改课题2项、市厅级重大课题1项，市厅级党性教育课程研发类课题1项，市厅级一般课题10项、湖南开放大学重点课题1项，湖南开放大学一般课题3项。三是科研工作成效显著。全年共有10项成果荣获不同级别奖项。其中，调研报告《抢抓历史机遇  建设种业强省——关于我省实施种业振兴行动的调研与思考》被湖南省社会科学成果鉴定为“省内领先”，并获得国家开放大学“优秀成果奖”；研究论文在怀化市社会科学界年会中斩获一个二等奖、一个三等奖；在湖南开放大学首届经济管理类教师优秀论文评选活动中分别荣获一个一等奖、二个三等奖，怀化开放大学获全省开放系统“优秀组织奖”；在湖南开放大学“教学管理与支持服务创新与实践”征文比赛中荣获两个三等奖。</w:t>
      </w:r>
    </w:p>
    <w:p w14:paraId="3AAD1111">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jc w:val="both"/>
        <w:rPr>
          <w:rFonts w:hint="eastAsia" w:ascii="仿宋" w:hAnsi="仿宋" w:eastAsia="仿宋" w:cs="仿宋"/>
          <w:bCs/>
          <w:sz w:val="32"/>
          <w:szCs w:val="32"/>
        </w:rPr>
      </w:pPr>
      <w:r>
        <w:rPr>
          <w:rFonts w:hint="eastAsia" w:ascii="仿宋" w:hAnsi="仿宋" w:eastAsia="仿宋" w:cs="仿宋"/>
          <w:bCs/>
          <w:sz w:val="32"/>
          <w:szCs w:val="32"/>
        </w:rPr>
        <w:t>③非学历教育稳步推进</w:t>
      </w:r>
      <w:r>
        <w:rPr>
          <w:rFonts w:hint="eastAsia" w:ascii="仿宋" w:hAnsi="仿宋" w:eastAsia="仿宋" w:cs="仿宋"/>
          <w:bCs/>
          <w:sz w:val="32"/>
          <w:szCs w:val="32"/>
          <w:lang w:eastAsia="zh-CN"/>
        </w:rPr>
        <w:t>。</w:t>
      </w:r>
      <w:r>
        <w:rPr>
          <w:rFonts w:hint="eastAsia" w:ascii="仿宋" w:hAnsi="仿宋" w:eastAsia="仿宋" w:cs="仿宋"/>
          <w:bCs/>
          <w:sz w:val="32"/>
          <w:szCs w:val="32"/>
        </w:rPr>
        <w:t>一是老年教育硕果累累。学校“爱晚”老年学校提质改造工作如期竣工并经验收通过，获省级奖补资金43万元。开设了唱歌班、古琴班等7门老年教育课程，吸引市区300余名学员报名学习。二是社区教育优势彰显。教学成果转化有效，优秀原创作品不断涌现。校雪峰山艺术团原创舞蹈作品《稻花香》获2024年全省终身教育优秀文艺成果二等奖；校合唱团“锦嘎”组合作品《葡萄姑娘》获第八届湖南艺术节 “三湘群星奖”音乐类最佳作品。怀化开放大学、怀化市合唱艺术协会承办的“2024年怀化国际陆港新年合唱音乐会”在怀化市委机关会堂成功举办，相关单位领导及社会各界群众共700余人观看了演出，社会反响良好。 三是干部网络教育精益求精。网络学习各项指标保持优异。截至2024年12月22日，市网院共有26524名在籍学员参与选课学习，参学率达100%，其中26508人已完成年度学时任务，通过率为99.96%。网络课程资源建设力求精品。怀化市干部教育网络培训学院坚持围绕怀化市委、市政府中心工作，打造了本土优秀课程和精品微课程，有序推进了多个专题学习，参学率和通过率均达100%。四是培训业务稳步增长。年度完成12场线下培训业务，共培训学员1335人次，培训业务收入39万元，较去年增长了18%。向市人社局申报职业技能培训资质及创业培训资质，预计25年初可列入具备资质的培训单位。承办市委人才办“名校学子进怀化”活动，授牌“怀化人才驿站”，得到各级领导和广大学子的一致好评。</w:t>
      </w:r>
    </w:p>
    <w:p w14:paraId="2D61A0D2">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3" w:firstLineChars="200"/>
        <w:jc w:val="both"/>
        <w:rPr>
          <w:rFonts w:hint="eastAsia" w:ascii="仿宋" w:hAnsi="仿宋" w:eastAsia="仿宋" w:cs="仿宋"/>
          <w:b/>
          <w:bCs/>
          <w:sz w:val="32"/>
          <w:szCs w:val="32"/>
          <w:lang w:eastAsia="zh-CN"/>
        </w:rPr>
      </w:pPr>
      <w:r>
        <w:rPr>
          <w:rFonts w:hint="eastAsia" w:ascii="仿宋" w:hAnsi="仿宋" w:eastAsia="仿宋" w:cs="仿宋"/>
          <w:b/>
          <w:bCs/>
          <w:sz w:val="32"/>
          <w:szCs w:val="32"/>
        </w:rPr>
        <w:t>2.预算配置与执行情况</w:t>
      </w:r>
    </w:p>
    <w:p w14:paraId="1685C283">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jc w:val="both"/>
        <w:rPr>
          <w:rFonts w:hint="eastAsia" w:ascii="仿宋" w:hAnsi="仿宋" w:eastAsia="仿宋" w:cs="仿宋"/>
          <w:bCs/>
          <w:sz w:val="32"/>
          <w:szCs w:val="32"/>
        </w:rPr>
      </w:pPr>
      <w:r>
        <w:rPr>
          <w:rFonts w:hint="eastAsia" w:ascii="仿宋" w:hAnsi="仿宋" w:eastAsia="仿宋" w:cs="仿宋"/>
          <w:bCs/>
          <w:sz w:val="32"/>
          <w:szCs w:val="32"/>
        </w:rPr>
        <w:t>在预算配置过程中，注重优化资源配置结构，确保各项预算支出与绩效目标相匹配。在预算执行过程中，学校加强了对预算执行的监控和管理，确保预算资金的有效利用和合规使用。实际执行情况显示，预算配置合理有效，预算执行规范有序，预算资金得到了比较充分利用。</w:t>
      </w:r>
    </w:p>
    <w:p w14:paraId="12414E6C">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3" w:firstLineChars="200"/>
        <w:jc w:val="both"/>
        <w:rPr>
          <w:rFonts w:hint="eastAsia" w:ascii="仿宋" w:hAnsi="仿宋" w:eastAsia="仿宋" w:cs="仿宋"/>
          <w:b/>
          <w:bCs/>
          <w:sz w:val="32"/>
          <w:szCs w:val="32"/>
          <w:lang w:eastAsia="zh-CN"/>
        </w:rPr>
      </w:pPr>
      <w:r>
        <w:rPr>
          <w:rFonts w:hint="eastAsia" w:ascii="仿宋" w:hAnsi="仿宋" w:eastAsia="仿宋" w:cs="仿宋"/>
          <w:b/>
          <w:bCs/>
          <w:sz w:val="32"/>
          <w:szCs w:val="32"/>
        </w:rPr>
        <w:t>3.预算管理与资产管理情况</w:t>
      </w:r>
    </w:p>
    <w:p w14:paraId="1E779F3E">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jc w:val="both"/>
        <w:rPr>
          <w:rFonts w:hint="eastAsia" w:ascii="仿宋" w:hAnsi="仿宋" w:eastAsia="仿宋" w:cs="仿宋"/>
          <w:bCs/>
          <w:sz w:val="32"/>
          <w:szCs w:val="32"/>
        </w:rPr>
      </w:pPr>
      <w:r>
        <w:rPr>
          <w:rFonts w:hint="eastAsia" w:ascii="仿宋" w:hAnsi="仿宋" w:eastAsia="仿宋" w:cs="仿宋"/>
          <w:bCs/>
          <w:sz w:val="32"/>
          <w:szCs w:val="32"/>
        </w:rPr>
        <w:t>在预算管理方面，建立了完善的预算管理制度和流程，确保预算管理的科学性和规范性。同时，学校加强了资产管理，实现了资产的合理配置和有效利用。实际管理情况显示，预算管理规范有序，资产管理水平得到提升，为学校的可持续发展提供了有力保障。</w:t>
      </w:r>
    </w:p>
    <w:p w14:paraId="5E2D5EFC">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3" w:firstLineChars="200"/>
        <w:jc w:val="both"/>
        <w:rPr>
          <w:rFonts w:hint="eastAsia" w:ascii="仿宋" w:hAnsi="仿宋" w:eastAsia="仿宋" w:cs="仿宋"/>
          <w:b/>
          <w:bCs/>
          <w:sz w:val="32"/>
          <w:szCs w:val="32"/>
          <w:lang w:eastAsia="zh-CN"/>
        </w:rPr>
      </w:pPr>
      <w:r>
        <w:rPr>
          <w:rFonts w:hint="eastAsia" w:ascii="仿宋" w:hAnsi="仿宋" w:eastAsia="仿宋" w:cs="仿宋"/>
          <w:b/>
          <w:bCs/>
          <w:sz w:val="32"/>
          <w:szCs w:val="32"/>
        </w:rPr>
        <w:t>4.职责履行与履职效益情况</w:t>
      </w:r>
    </w:p>
    <w:p w14:paraId="0CB87F24">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bCs/>
          <w:sz w:val="32"/>
          <w:szCs w:val="32"/>
        </w:rPr>
        <w:t>在履行部门职责方面，积极履行职责义务，为社会提供了优质的教育服务。同时，学校注重提升履职效益，实现了教育资源的优化配置和高效利用。实际履职情况显示，学校职责履行到位，履职效益显著提升，为区域经济社会发展做出了积极贡献。</w:t>
      </w:r>
    </w:p>
    <w:p w14:paraId="7943E2D7">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九、存在的问题及原因分析</w:t>
      </w:r>
    </w:p>
    <w:p w14:paraId="3956C98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bookmarkStart w:id="0" w:name="_GoBack"/>
      <w:r>
        <w:rPr>
          <w:rFonts w:hint="eastAsia" w:ascii="仿宋" w:hAnsi="仿宋" w:eastAsia="仿宋" w:cs="仿宋"/>
          <w:color w:val="auto"/>
          <w:sz w:val="32"/>
          <w:szCs w:val="32"/>
          <w:highlight w:val="none"/>
          <w:lang w:val="en-US" w:eastAsia="zh-CN"/>
        </w:rPr>
        <w:t>在2024年部门预算执行过程中，存在以下问题：</w:t>
      </w:r>
    </w:p>
    <w:p w14:paraId="76A14F22">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（一）预算编制科学性不足。</w:t>
      </w:r>
      <w:r>
        <w:rPr>
          <w:rFonts w:hint="eastAsia" w:ascii="仿宋" w:hAnsi="仿宋" w:eastAsia="仿宋" w:cs="仿宋"/>
          <w:b w:val="0"/>
          <w:bCs w:val="0"/>
          <w:color w:val="auto"/>
          <w:sz w:val="32"/>
          <w:szCs w:val="32"/>
          <w:highlight w:val="none"/>
          <w:lang w:val="en-US" w:eastAsia="zh-CN"/>
        </w:rPr>
        <w:t>未能充分考虑生源波动、教学需求变化等动态因素，导致预算与实际需求存在较大偏差。同时，对政策变化的敏感性不足，难以及时响应招生、教学、科研等领域的政策调整要求。</w:t>
      </w:r>
    </w:p>
    <w:p w14:paraId="7C40A85C">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（二）动态管理能力不够。</w:t>
      </w:r>
      <w:r>
        <w:rPr>
          <w:rFonts w:hint="eastAsia" w:ascii="仿宋" w:hAnsi="仿宋" w:eastAsia="仿宋" w:cs="仿宋"/>
          <w:b w:val="0"/>
          <w:bCs w:val="0"/>
          <w:color w:val="auto"/>
          <w:sz w:val="32"/>
          <w:szCs w:val="32"/>
          <w:highlight w:val="none"/>
          <w:lang w:val="en-US" w:eastAsia="zh-CN"/>
        </w:rPr>
        <w:t>缺乏有效的预算调整机制，难以及时应对执行过程中的突发情况；信息化建设滞后，预算管理系统功能不完善，数据分析能力不足，制约了预算管理的精准化水平。</w:t>
      </w:r>
    </w:p>
    <w:p w14:paraId="02CC58F1">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仿宋" w:hAnsi="仿宋" w:eastAsia="仿宋" w:cs="仿宋"/>
          <w:b w:val="0"/>
          <w:bCs w:val="0"/>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（三）绩效管理体系不健全。</w:t>
      </w:r>
      <w:r>
        <w:rPr>
          <w:rFonts w:hint="eastAsia" w:ascii="仿宋" w:hAnsi="仿宋" w:eastAsia="仿宋" w:cs="仿宋"/>
          <w:b w:val="0"/>
          <w:bCs w:val="0"/>
          <w:color w:val="auto"/>
          <w:sz w:val="32"/>
          <w:szCs w:val="32"/>
          <w:highlight w:val="none"/>
          <w:lang w:val="en-US" w:eastAsia="zh-CN"/>
        </w:rPr>
        <w:t>部分绩效指标设置不合理，或过于笼统，或脱离实际，难以客观衡量执行效果；同时缺乏全过程监管，资金使用效益未能得到有效保障。</w:t>
      </w:r>
    </w:p>
    <w:bookmarkEnd w:id="0"/>
    <w:p w14:paraId="4F0F7806">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十、下一步改进措施</w:t>
      </w:r>
    </w:p>
    <w:p w14:paraId="2CEB2BD6">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针对2024年部门预算执行中存在的问题，现提出以下改进措施：</w:t>
      </w:r>
    </w:p>
    <w:p w14:paraId="08C5F500">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 w:hAnsi="仿宋" w:eastAsia="仿宋" w:cs="仿宋"/>
          <w:color w:val="auto"/>
          <w:sz w:val="32"/>
          <w:szCs w:val="32"/>
          <w:highlight w:val="none"/>
          <w:lang w:val="en-US" w:eastAsia="zh-CN"/>
        </w:rPr>
      </w:pPr>
      <w:r>
        <w:rPr>
          <w:rFonts w:hint="eastAsia" w:ascii="楷体" w:hAnsi="楷体" w:eastAsia="楷体" w:cs="楷体"/>
          <w:b/>
          <w:bCs/>
          <w:color w:val="auto"/>
          <w:kern w:val="2"/>
          <w:sz w:val="32"/>
          <w:szCs w:val="32"/>
          <w:lang w:val="en-US" w:eastAsia="zh-CN" w:bidi="ar-SA"/>
        </w:rPr>
        <w:t>（一）</w:t>
      </w:r>
      <w:r>
        <w:rPr>
          <w:rFonts w:hint="eastAsia" w:ascii="楷体" w:hAnsi="楷体" w:eastAsia="楷体" w:cs="楷体"/>
          <w:b/>
          <w:bCs/>
          <w:color w:val="auto"/>
          <w:sz w:val="32"/>
          <w:szCs w:val="32"/>
          <w:highlight w:val="none"/>
          <w:lang w:val="en-US" w:eastAsia="zh-CN"/>
        </w:rPr>
        <w:t>完善预算编制机制。</w:t>
      </w:r>
      <w:r>
        <w:rPr>
          <w:rFonts w:hint="eastAsia" w:ascii="仿宋" w:hAnsi="仿宋" w:eastAsia="仿宋" w:cs="仿宋"/>
          <w:color w:val="auto"/>
          <w:sz w:val="32"/>
          <w:szCs w:val="32"/>
          <w:highlight w:val="none"/>
          <w:lang w:val="en-US" w:eastAsia="zh-CN"/>
        </w:rPr>
        <w:t>定期收集生源规模、教学需求等关键数据，强化需求调研和科学预测，提升预算的前瞻性和精准度。</w:t>
      </w:r>
    </w:p>
    <w:p w14:paraId="13002648">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default" w:ascii="仿宋" w:hAnsi="仿宋" w:eastAsia="仿宋" w:cs="仿宋"/>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（二）健全预算执行监控体系。</w:t>
      </w:r>
      <w:r>
        <w:rPr>
          <w:rFonts w:hint="eastAsia" w:ascii="仿宋" w:hAnsi="仿宋" w:eastAsia="仿宋" w:cs="仿宋"/>
          <w:color w:val="auto"/>
          <w:sz w:val="32"/>
          <w:szCs w:val="32"/>
          <w:highlight w:val="none"/>
          <w:lang w:val="en-US" w:eastAsia="zh-CN"/>
        </w:rPr>
        <w:t>建立动态调整和预警机制，并建立跨部门协同机制，通过定期讨论、信息共享等方式确保预算资源配置与绩效目标有效衔接，从而全面提升预算管理效能，为学校高质量发展提供有力支撑。</w:t>
      </w:r>
    </w:p>
    <w:p w14:paraId="6F0A1E78">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default" w:ascii="仿宋" w:hAnsi="仿宋" w:eastAsia="仿宋" w:cs="仿宋"/>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（三）健全绩效管理体系。</w:t>
      </w:r>
      <w:r>
        <w:rPr>
          <w:rFonts w:hint="default" w:ascii="仿宋" w:hAnsi="仿宋" w:eastAsia="仿宋" w:cs="仿宋"/>
          <w:color w:val="auto"/>
          <w:sz w:val="32"/>
          <w:szCs w:val="32"/>
          <w:highlight w:val="none"/>
          <w:lang w:val="en-US" w:eastAsia="zh-CN"/>
        </w:rPr>
        <w:t>优化绩效指标设置，确保指标设置科学合理、可量化</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强化绩效结果应用，将绩效评价结果与下年度预算安排挂钩</w:t>
      </w:r>
      <w:r>
        <w:rPr>
          <w:rFonts w:hint="eastAsia" w:ascii="仿宋" w:hAnsi="仿宋" w:eastAsia="仿宋" w:cs="仿宋"/>
          <w:color w:val="auto"/>
          <w:sz w:val="32"/>
          <w:szCs w:val="32"/>
          <w:highlight w:val="none"/>
          <w:lang w:val="en-US" w:eastAsia="zh-CN"/>
        </w:rPr>
        <w:t>。</w:t>
      </w:r>
    </w:p>
    <w:p w14:paraId="6A2EBD79">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十一、绩效自评结果拟应用和公开情况</w:t>
      </w:r>
    </w:p>
    <w:p w14:paraId="0107576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绩效自评结果将作为改进管理、优化资源配置的重要依据，用于调整后续工作计划和预算安排，并纳入单位及个人的考核评价体系；同时，按照相关规定，自评结果将通过内部公示或政府网站等渠道向社会公开，内容包括绩效目标完成情况、自评得分、存在问题及改进措施等，确保绩效管理的透明度和公信力。</w:t>
      </w:r>
    </w:p>
    <w:p w14:paraId="0D944C4B">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十二、其他需要说明的情况</w:t>
      </w:r>
    </w:p>
    <w:p w14:paraId="0D7607B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无。</w:t>
      </w:r>
    </w:p>
    <w:p w14:paraId="6C01C6F0">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Times New Roman Regular" w:hAnsi="Times New Roman Regular" w:eastAsia="仿宋_GB2312" w:cs="Times New Roman Regular"/>
          <w:color w:val="auto"/>
          <w:sz w:val="32"/>
          <w:szCs w:val="32"/>
          <w:highlight w:val="none"/>
          <w:lang w:val="en-US" w:eastAsia="zh-CN"/>
        </w:rPr>
      </w:pPr>
    </w:p>
    <w:p w14:paraId="28AC6E9C">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附件：</w:t>
      </w:r>
      <w:r>
        <w:rPr>
          <w:rFonts w:hint="eastAsia" w:ascii="仿宋" w:hAnsi="仿宋" w:eastAsia="仿宋" w:cs="仿宋"/>
          <w:color w:val="auto"/>
          <w:sz w:val="32"/>
          <w:szCs w:val="32"/>
          <w:highlight w:val="none"/>
          <w:lang w:val="en-US" w:eastAsia="zh-CN"/>
        </w:rPr>
        <w:t>1.部门整体支出绩效评价基础数据表</w:t>
      </w:r>
    </w:p>
    <w:p w14:paraId="54EE272C">
      <w:pPr>
        <w:keepNext w:val="0"/>
        <w:keepLines w:val="0"/>
        <w:pageBreakBefore w:val="0"/>
        <w:widowControl w:val="0"/>
        <w:kinsoku/>
        <w:wordWrap/>
        <w:overflowPunct/>
        <w:topLinePunct w:val="0"/>
        <w:autoSpaceDE/>
        <w:autoSpaceDN/>
        <w:bidi w:val="0"/>
        <w:adjustRightInd/>
        <w:snapToGrid w:val="0"/>
        <w:spacing w:line="560" w:lineRule="exact"/>
        <w:ind w:firstLine="1600" w:firstLineChars="5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2.部门整体支出绩效自评表</w:t>
      </w:r>
    </w:p>
    <w:p w14:paraId="55D4652C">
      <w:pPr>
        <w:keepNext w:val="0"/>
        <w:keepLines w:val="0"/>
        <w:pageBreakBefore w:val="0"/>
        <w:widowControl w:val="0"/>
        <w:kinsoku/>
        <w:wordWrap/>
        <w:overflowPunct/>
        <w:topLinePunct w:val="0"/>
        <w:autoSpaceDE/>
        <w:autoSpaceDN/>
        <w:bidi w:val="0"/>
        <w:adjustRightInd/>
        <w:snapToGrid w:val="0"/>
        <w:spacing w:line="560" w:lineRule="exact"/>
        <w:ind w:firstLine="1600" w:firstLineChars="5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w:t>
      </w:r>
      <w:r>
        <w:rPr>
          <w:rFonts w:hint="default" w:ascii="仿宋" w:hAnsi="仿宋" w:eastAsia="仿宋" w:cs="仿宋"/>
          <w:color w:val="auto"/>
          <w:sz w:val="32"/>
          <w:szCs w:val="32"/>
          <w:highlight w:val="none"/>
          <w:lang w:val="en-US" w:eastAsia="zh-CN"/>
        </w:rPr>
        <w:t>政府性基金预算支出情况表</w:t>
      </w:r>
    </w:p>
    <w:p w14:paraId="64788291">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0" w:firstLineChars="0"/>
        <w:jc w:val="both"/>
        <w:textAlignment w:val="auto"/>
        <w:rPr>
          <w:rFonts w:hint="eastAsia" w:ascii="仿宋" w:hAnsi="仿宋" w:eastAsia="仿宋" w:cs="仿宋"/>
          <w:b/>
          <w:bCs/>
          <w:color w:val="auto"/>
          <w:sz w:val="32"/>
          <w:szCs w:val="32"/>
          <w:highlight w:val="none"/>
          <w:lang w:val="en-US" w:eastAsia="zh-CN"/>
        </w:rPr>
      </w:pPr>
    </w:p>
    <w:p w14:paraId="6C0B352F">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0" w:firstLineChars="0"/>
        <w:jc w:val="both"/>
        <w:textAlignment w:val="auto"/>
        <w:rPr>
          <w:rFonts w:hint="eastAsia" w:ascii="仿宋" w:hAnsi="仿宋" w:eastAsia="仿宋" w:cs="仿宋"/>
          <w:b/>
          <w:bCs/>
          <w:color w:val="auto"/>
          <w:sz w:val="32"/>
          <w:szCs w:val="32"/>
          <w:highlight w:val="none"/>
          <w:lang w:val="en-US" w:eastAsia="zh-CN"/>
        </w:rPr>
      </w:pPr>
    </w:p>
    <w:p w14:paraId="7AF48D9E">
      <w:pPr>
        <w:keepNext w:val="0"/>
        <w:keepLines w:val="0"/>
        <w:pageBreakBefore w:val="0"/>
        <w:kinsoku/>
        <w:wordWrap/>
        <w:overflowPunct/>
        <w:topLinePunct w:val="0"/>
        <w:autoSpaceDE/>
        <w:autoSpaceDN/>
        <w:bidi w:val="0"/>
        <w:adjustRightInd/>
        <w:spacing w:line="560" w:lineRule="exact"/>
        <w:ind w:firstLine="0" w:firstLineChars="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472E28-0B3E-409F-B82C-BD419BD20D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F817811E-5EFE-4462-91CE-6A251BE8E0BA}"/>
  </w:font>
  <w:font w:name="方正黑体_GBK">
    <w:panose1 w:val="02010600010101010101"/>
    <w:charset w:val="86"/>
    <w:family w:val="auto"/>
    <w:pitch w:val="default"/>
    <w:sig w:usb0="00000001" w:usb1="080E0000" w:usb2="00000000" w:usb3="00000000" w:csb0="00040000" w:csb1="00000000"/>
    <w:embedRegular r:id="rId3" w:fontKey="{99FA0E7A-96F1-4A0F-9C69-CE11F902EFFF}"/>
  </w:font>
  <w:font w:name="楷体">
    <w:panose1 w:val="02010609060101010101"/>
    <w:charset w:val="86"/>
    <w:family w:val="auto"/>
    <w:pitch w:val="default"/>
    <w:sig w:usb0="800002BF" w:usb1="38CF7CFA" w:usb2="00000016" w:usb3="00000000" w:csb0="00040001" w:csb1="00000000"/>
    <w:embedRegular r:id="rId4" w:fontKey="{801CBC08-1191-4638-987F-D128B57B71A1}"/>
  </w:font>
  <w:font w:name="仿宋">
    <w:panose1 w:val="02010609060101010101"/>
    <w:charset w:val="86"/>
    <w:family w:val="auto"/>
    <w:pitch w:val="default"/>
    <w:sig w:usb0="800002BF" w:usb1="38CF7CFA" w:usb2="00000016" w:usb3="00000000" w:csb0="00040001" w:csb1="00000000"/>
    <w:embedRegular r:id="rId5" w:fontKey="{C3E7F1E6-9C63-472D-8D37-C676187166A6}"/>
  </w:font>
  <w:font w:name="Times New Roman Regular">
    <w:altName w:val="Times New Roman"/>
    <w:panose1 w:val="02020603050405020304"/>
    <w:charset w:val="00"/>
    <w:family w:val="auto"/>
    <w:pitch w:val="default"/>
    <w:sig w:usb0="00000000" w:usb1="00000000" w:usb2="00000009" w:usb3="00000000" w:csb0="400001FF" w:csb1="FFFF0000"/>
    <w:embedRegular r:id="rId6" w:fontKey="{24A48EAC-00AB-417C-A0D7-687E2AD53C8A}"/>
  </w:font>
  <w:font w:name="仿宋_GB2312">
    <w:panose1 w:val="02010609030101010101"/>
    <w:charset w:val="86"/>
    <w:family w:val="auto"/>
    <w:pitch w:val="default"/>
    <w:sig w:usb0="00000001" w:usb1="080E0000" w:usb2="00000000" w:usb3="00000000" w:csb0="00040000" w:csb1="00000000"/>
    <w:embedRegular r:id="rId7" w:fontKey="{37061C77-AE3B-421F-87E4-F9EDBB15722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12D6C"/>
    <w:rsid w:val="03FD4132"/>
    <w:rsid w:val="041B6CAE"/>
    <w:rsid w:val="04BD38C2"/>
    <w:rsid w:val="095431BC"/>
    <w:rsid w:val="09FF5AB3"/>
    <w:rsid w:val="0D622673"/>
    <w:rsid w:val="124902A4"/>
    <w:rsid w:val="134A0A16"/>
    <w:rsid w:val="21E21102"/>
    <w:rsid w:val="2A3C7E30"/>
    <w:rsid w:val="2B2D4A4E"/>
    <w:rsid w:val="2F793352"/>
    <w:rsid w:val="35DE5B6F"/>
    <w:rsid w:val="3F2C0891"/>
    <w:rsid w:val="3FFC29B9"/>
    <w:rsid w:val="4BBC17AA"/>
    <w:rsid w:val="4ECC2A63"/>
    <w:rsid w:val="540B32CF"/>
    <w:rsid w:val="575F1CAD"/>
    <w:rsid w:val="63A00554"/>
    <w:rsid w:val="6B73698D"/>
    <w:rsid w:val="6CC13F99"/>
    <w:rsid w:val="713F6856"/>
    <w:rsid w:val="716F09E3"/>
    <w:rsid w:val="73DC6292"/>
    <w:rsid w:val="79712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5683</Words>
  <Characters>5996</Characters>
  <Lines>0</Lines>
  <Paragraphs>0</Paragraphs>
  <TotalTime>59</TotalTime>
  <ScaleCrop>false</ScaleCrop>
  <LinksUpToDate>false</LinksUpToDate>
  <CharactersWithSpaces>6006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2025-06-25T10:49:00Z</dcterms:created>
  <dc:creator>WPS_1692597713</dc:creator>
  <cp:lastModifiedBy>WPS_1692597713</cp:lastModifiedBy>
  <cp:lastPrinted>2025-06-30T03:41:00Z</cp:lastPrinted>
  <dcterms:modified xsi:type="dcterms:W3CDTF">2025-09-18T01:44:45Z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1DABC542D8234CF8BF28D394375024B4_13</vt:lpwstr>
  </property>
  <property fmtid="{D5CDD505-2E9C-101B-9397-08002B2CF9AE}" pid="4" name="KSOTemplateDocerSaveRecord">
    <vt:lpwstr>eyJoZGlkIjoiMTg1NDEwOWMwMzI2ZWIzZDJhMmY1MTdhNzU3ZjllMjMiLCJ1c2VySWQiOiIxNTIyNTQ3NTg4In0=</vt:lpwstr>
  </property>
</Properties>
</file>